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0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00" w:type="dxa"/>
            <w:vAlign w:val="bottom"/>
            <w:vMerge w:val="restart"/>
          </w:tcPr>
          <w:p>
            <w:pPr>
              <w:jc w:val="right"/>
              <w:ind w:right="4"/>
              <w:spacing w:after="0"/>
              <w:rPr>
                <w:sz w:val="20"/>
                <w:szCs w:val="20"/>
                <w:color w:val="auto"/>
              </w:rPr>
            </w:pPr>
            <w:r>
              <w:rPr>
                <w:rFonts w:ascii="Arial" w:cs="Arial" w:eastAsia="Arial" w:hAnsi="Arial"/>
                <w:sz w:val="11"/>
                <w:szCs w:val="11"/>
                <w:color w:val="auto"/>
                <w:w w:val="98"/>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-607060</wp:posOffset>
            </wp:positionV>
            <wp:extent cx="57150" cy="620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645160</wp:posOffset>
            </wp:positionV>
            <wp:extent cx="7048500" cy="4816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4816475"/>
                    </a:xfrm>
                    <a:prstGeom prst="rect">
                      <a:avLst/>
                    </a:prstGeom>
                    <a:noFill/>
                  </pic:spPr>
                </pic:pic>
              </a:graphicData>
            </a:graphic>
          </wp:anchor>
        </w:drawing>
      </w:r>
    </w:p>
    <w:p>
      <w:pPr>
        <w:spacing w:after="0" w:line="1090"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Datta Surajit</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KODIAK AI,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1049 TERRA BELLA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Kodiak AI,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KDK</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3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07/01/2026</w:t>
      </w:r>
    </w:p>
    <w:p>
      <w:pPr>
        <w:spacing w:after="0" w:line="20" w:lineRule="exact"/>
        <w:rPr>
          <w:sz w:val="24"/>
          <w:szCs w:val="24"/>
          <w:color w:val="auto"/>
        </w:rPr>
      </w:pPr>
      <w:r>
        <w:rPr>
          <w:sz w:val="24"/>
          <w:szCs w:val="24"/>
          <w:color w:val="auto"/>
        </w:rPr>
        <w:br w:type="column"/>
      </w:r>
    </w:p>
    <w:p>
      <w:pPr>
        <w:ind w:right="720"/>
        <w:spacing w:after="0" w:line="271" w:lineRule="auto"/>
        <w:tabs>
          <w:tab w:leader="none" w:pos="139"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 w:lineRule="exact"/>
        <w:rPr>
          <w:sz w:val="24"/>
          <w:szCs w:val="24"/>
          <w:color w:val="auto"/>
        </w:rPr>
      </w:pPr>
    </w:p>
    <w:p>
      <w:pPr>
        <w:ind w:left="520"/>
        <w:spacing w:after="0"/>
        <w:tabs>
          <w:tab w:leader="none" w:pos="2100"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49"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0"/>
        <w:spacing w:after="0"/>
        <w:tabs>
          <w:tab w:leader="none" w:pos="2100"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7"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6"/>
          <w:szCs w:val="16"/>
          <w:color w:val="0000FF"/>
        </w:rPr>
        <w:t>Chief Financial Officer</w:t>
      </w:r>
    </w:p>
    <w:p>
      <w:pPr>
        <w:spacing w:after="0" w:line="574" w:lineRule="exact"/>
        <w:rPr>
          <w:sz w:val="24"/>
          <w:szCs w:val="24"/>
          <w:color w:val="auto"/>
        </w:rPr>
      </w:pPr>
    </w:p>
    <w:p>
      <w:pPr>
        <w:sectPr>
          <w:pgSz w:w="11900" w:h="16838" w:orient="portrait"/>
          <w:cols w:equalWidth="0" w:num="3">
            <w:col w:w="3180" w:space="720"/>
            <w:col w:w="3100" w:space="720"/>
            <w:col w:w="3360"/>
          </w:cols>
          <w:pgMar w:left="460" w:top="214" w:right="359" w:bottom="1440" w:gutter="0" w:footer="0" w:header="0"/>
          <w:type w:val="continuous"/>
        </w:sectPr>
      </w:pP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43"/>
        </w:trPr>
        <w:tc>
          <w:tcPr>
            <w:tcW w:w="20" w:type="dxa"/>
            <w:vAlign w:val="bottom"/>
            <w:vMerge w:val="restart"/>
          </w:tcPr>
          <w:p>
            <w:pPr>
              <w:spacing w:after="0"/>
              <w:rPr>
                <w:sz w:val="3"/>
                <w:szCs w:val="3"/>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20" w:type="dxa"/>
            <w:vAlign w:val="bottom"/>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40" w:type="dxa"/>
            <w:vAlign w:val="bottom"/>
            <w:gridSpan w:val="6"/>
            <w:vMerge w:val="restart"/>
          </w:tcPr>
          <w:p>
            <w:pPr>
              <w:jc w:val="center"/>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520" w:type="dxa"/>
            <w:vAlign w:val="bottom"/>
            <w:gridSpan w:val="9"/>
            <w:vMerge w:val="restart"/>
          </w:tcPr>
          <w:p>
            <w:pPr>
              <w:ind w:left="1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MOUNTAIN</w:t>
            </w: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40" w:type="dxa"/>
            <w:vAlign w:val="bottom"/>
            <w:gridSpan w:val="6"/>
            <w:vMerge w:val="continue"/>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5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94043</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120" w:type="dxa"/>
            <w:vAlign w:val="bottom"/>
            <w:gridSpan w:val="4"/>
            <w:vMerge w:val="restart"/>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VIEW</w:t>
            </w:r>
          </w:p>
        </w:tc>
        <w:tc>
          <w:tcPr>
            <w:tcW w:w="6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120" w:type="dxa"/>
            <w:vAlign w:val="bottom"/>
            <w:gridSpan w:val="4"/>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160" w:type="dxa"/>
            <w:vAlign w:val="bottom"/>
            <w:tcBorders>
              <w:bottom w:val="single" w:sz="8" w:color="9A9A9A"/>
            </w:tcBorders>
            <w:gridSpan w:val="2"/>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100" w:type="dxa"/>
            <w:vAlign w:val="bottom"/>
            <w:gridSpan w:val="2"/>
          </w:tcPr>
          <w:p>
            <w:pPr>
              <w:ind w:left="80"/>
              <w:spacing w:after="0"/>
              <w:rPr>
                <w:sz w:val="20"/>
                <w:szCs w:val="20"/>
                <w:color w:val="auto"/>
              </w:rPr>
            </w:pPr>
            <w:r>
              <w:rPr>
                <w:rFonts w:ascii="Arial" w:cs="Arial" w:eastAsia="Arial" w:hAnsi="Arial"/>
                <w:sz w:val="12"/>
                <w:szCs w:val="12"/>
                <w:color w:val="auto"/>
              </w:rPr>
              <w:t>(Zip)</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6"/>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6"/>
          </w:tcPr>
          <w:p>
            <w:pPr>
              <w:jc w:val="center"/>
              <w:ind w:left="71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4"/>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5"/>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5"/>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6"/>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60"/>
              <w:spacing w:after="0" w:line="125" w:lineRule="exact"/>
              <w:rPr>
                <w:sz w:val="20"/>
                <w:szCs w:val="20"/>
                <w:color w:val="auto"/>
              </w:rPr>
            </w:pPr>
            <w:r>
              <w:rPr>
                <w:rFonts w:ascii="Arial" w:cs="Arial" w:eastAsia="Arial" w:hAnsi="Arial"/>
                <w:sz w:val="11"/>
                <w:szCs w:val="11"/>
                <w:b w:val="1"/>
                <w:bCs w:val="1"/>
                <w:color w:val="auto"/>
                <w:w w:val="92"/>
              </w:rPr>
              <w:t>Date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60" w:type="dxa"/>
            <w:vAlign w:val="bottom"/>
            <w:gridSpan w:val="7"/>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5"/>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Code (Instr.</w:t>
            </w: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7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(Month/Day/Year)  8)</w:t>
            </w: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380" w:type="dxa"/>
            <w:vAlign w:val="bottom"/>
          </w:tcPr>
          <w:p>
            <w:pPr>
              <w:spacing w:after="0"/>
              <w:rPr>
                <w:sz w:val="10"/>
                <w:szCs w:val="10"/>
                <w:color w:val="auto"/>
              </w:rPr>
            </w:pPr>
          </w:p>
        </w:tc>
        <w:tc>
          <w:tcPr>
            <w:tcW w:w="4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22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4"/>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40"/>
              <w:spacing w:after="0"/>
              <w:rPr>
                <w:sz w:val="20"/>
                <w:szCs w:val="20"/>
                <w:color w:val="auto"/>
              </w:rPr>
            </w:pPr>
            <w:r>
              <w:rPr>
                <w:rFonts w:ascii="Times New Roman" w:cs="Times New Roman" w:eastAsia="Times New Roman" w:hAnsi="Times New Roman"/>
                <w:sz w:val="16"/>
                <w:szCs w:val="16"/>
                <w:color w:val="0000FF"/>
              </w:rPr>
              <w:t>07/01/2026</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102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6"/>
                <w:szCs w:val="16"/>
                <w:color w:val="0000FF"/>
              </w:rPr>
              <w:t>563,063</w:t>
            </w:r>
            <w:r>
              <w:rPr>
                <w:rFonts w:ascii="Times New Roman" w:cs="Times New Roman" w:eastAsia="Times New Roman" w:hAnsi="Times New Roman"/>
                <w:sz w:val="20"/>
                <w:szCs w:val="20"/>
                <w:color w:val="008000"/>
                <w:vertAlign w:val="superscript"/>
              </w:rPr>
              <w:t>(1)(2)</w:t>
            </w:r>
          </w:p>
        </w:tc>
        <w:tc>
          <w:tcPr>
            <w:tcW w:w="2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6"/>
                <w:szCs w:val="16"/>
                <w:color w:val="0000FF"/>
                <w:w w:val="86"/>
              </w:rPr>
              <w:t>A</w:t>
            </w: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right"/>
              <w:ind w:right="7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563,063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40"/>
              <w:spacing w:after="0"/>
              <w:rPr>
                <w:sz w:val="20"/>
                <w:szCs w:val="20"/>
                <w:color w:val="auto"/>
              </w:rPr>
            </w:pPr>
            <w:r>
              <w:rPr>
                <w:rFonts w:ascii="Times New Roman" w:cs="Times New Roman" w:eastAsia="Times New Roman" w:hAnsi="Times New Roman"/>
                <w:sz w:val="16"/>
                <w:szCs w:val="16"/>
                <w:color w:val="0000FF"/>
              </w:rPr>
              <w:t>07/01/2026</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102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6"/>
                <w:szCs w:val="16"/>
                <w:color w:val="0000FF"/>
              </w:rPr>
              <w:t>417,362</w:t>
            </w:r>
            <w:r>
              <w:rPr>
                <w:rFonts w:ascii="Times New Roman" w:cs="Times New Roman" w:eastAsia="Times New Roman" w:hAnsi="Times New Roman"/>
                <w:sz w:val="20"/>
                <w:szCs w:val="20"/>
                <w:color w:val="008000"/>
                <w:vertAlign w:val="superscript"/>
              </w:rPr>
              <w:t>(1)(3)</w:t>
            </w:r>
          </w:p>
        </w:tc>
        <w:tc>
          <w:tcPr>
            <w:tcW w:w="2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6"/>
                <w:szCs w:val="16"/>
                <w:color w:val="0000FF"/>
                <w:w w:val="86"/>
              </w:rPr>
              <w:t>A</w:t>
            </w: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right"/>
              <w:ind w:right="7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980,425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5"/>
          </w:tcPr>
          <w:p>
            <w:pPr>
              <w:jc w:val="right"/>
              <w:ind w:righ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60" w:type="dxa"/>
            <w:vAlign w:val="bottom"/>
            <w:gridSpan w:val="14"/>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2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2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2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2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260" w:type="dxa"/>
            <w:vAlign w:val="bottom"/>
          </w:tcPr>
          <w:p>
            <w:pPr>
              <w:spacing w:after="0"/>
              <w:rPr>
                <w:sz w:val="13"/>
                <w:szCs w:val="13"/>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8.8769</w:t>
            </w:r>
          </w:p>
        </w:tc>
        <w:tc>
          <w:tcPr>
            <w:tcW w:w="120" w:type="dxa"/>
            <w:vAlign w:val="bottom"/>
          </w:tcPr>
          <w:p>
            <w:pPr>
              <w:spacing w:after="0"/>
              <w:rPr>
                <w:sz w:val="17"/>
                <w:szCs w:val="17"/>
                <w:color w:val="auto"/>
              </w:rPr>
            </w:pPr>
          </w:p>
        </w:tc>
        <w:tc>
          <w:tcPr>
            <w:tcW w:w="104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0000FF"/>
              </w:rPr>
              <w:t>07/01/2026</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0000FF"/>
              </w:rPr>
              <w:t>D</w:t>
            </w:r>
          </w:p>
        </w:tc>
        <w:tc>
          <w:tcPr>
            <w:tcW w:w="940" w:type="dxa"/>
            <w:vAlign w:val="bottom"/>
          </w:tcPr>
          <w:p>
            <w:pPr>
              <w:ind w:left="360"/>
              <w:spacing w:after="0"/>
              <w:rPr>
                <w:sz w:val="20"/>
                <w:szCs w:val="20"/>
                <w:color w:val="auto"/>
              </w:rPr>
            </w:pPr>
            <w:r>
              <w:rPr>
                <w:rFonts w:ascii="Times New Roman" w:cs="Times New Roman" w:eastAsia="Times New Roman" w:hAnsi="Times New Roman"/>
                <w:sz w:val="12"/>
                <w:szCs w:val="12"/>
                <w:color w:val="0000FF"/>
              </w:rPr>
              <w:t>2,035,915</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0"/>
                <w:szCs w:val="10"/>
                <w:color w:val="008000"/>
              </w:rPr>
              <w:t>(4)</w:t>
            </w:r>
          </w:p>
        </w:tc>
        <w:tc>
          <w:tcPr>
            <w:tcW w:w="640" w:type="dxa"/>
            <w:vAlign w:val="bottom"/>
          </w:tcPr>
          <w:p>
            <w:pPr>
              <w:spacing w:after="0"/>
              <w:rPr>
                <w:sz w:val="20"/>
                <w:szCs w:val="20"/>
                <w:color w:val="auto"/>
              </w:rPr>
            </w:pPr>
            <w:r>
              <w:rPr>
                <w:rFonts w:ascii="Times New Roman" w:cs="Times New Roman" w:eastAsia="Times New Roman" w:hAnsi="Times New Roman"/>
                <w:sz w:val="12"/>
                <w:szCs w:val="12"/>
                <w:color w:val="0000FF"/>
              </w:rPr>
              <w:t>08/26/2035</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2,035,915</w:t>
            </w:r>
          </w:p>
        </w:tc>
        <w:tc>
          <w:tcPr>
            <w:tcW w:w="80" w:type="dxa"/>
            <w:vAlign w:val="bottom"/>
          </w:tcPr>
          <w:p>
            <w:pPr>
              <w:spacing w:after="0"/>
              <w:rPr>
                <w:sz w:val="17"/>
                <w:szCs w:val="17"/>
                <w:color w:val="auto"/>
              </w:rPr>
            </w:pPr>
          </w:p>
        </w:tc>
        <w:tc>
          <w:tcPr>
            <w:tcW w:w="620" w:type="dxa"/>
            <w:vAlign w:val="bottom"/>
          </w:tcPr>
          <w:p>
            <w:pPr>
              <w:jc w:val="right"/>
              <w:ind w:right="240"/>
              <w:spacing w:after="0"/>
              <w:rPr>
                <w:sz w:val="20"/>
                <w:szCs w:val="20"/>
                <w:color w:val="auto"/>
              </w:rPr>
            </w:pPr>
            <w:r>
              <w:rPr>
                <w:rFonts w:ascii="Times New Roman" w:cs="Times New Roman" w:eastAsia="Times New Roman" w:hAnsi="Times New Roman"/>
                <w:sz w:val="10"/>
                <w:szCs w:val="10"/>
                <w:color w:val="008000"/>
              </w:rPr>
              <w:t>(5)</w:t>
            </w:r>
          </w:p>
        </w:tc>
        <w:tc>
          <w:tcPr>
            <w:tcW w:w="58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0</w:t>
            </w:r>
          </w:p>
        </w:tc>
        <w:tc>
          <w:tcPr>
            <w:tcW w:w="280" w:type="dxa"/>
            <w:vAlign w:val="bottom"/>
          </w:tcPr>
          <w:p>
            <w:pPr>
              <w:spacing w:after="0"/>
              <w:rPr>
                <w:sz w:val="17"/>
                <w:szCs w:val="17"/>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2"/>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gridSpan w:val="2"/>
          </w:tcPr>
          <w:p>
            <w:pPr>
              <w:ind w:left="160"/>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buy)</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restricted stock units ("RSUs"). Each RSU represents a contingent right to receive one share of Common Stock</w:t>
      </w:r>
    </w:p>
    <w:p>
      <w:pPr>
        <w:spacing w:after="0" w:line="49" w:lineRule="exact"/>
        <w:rPr>
          <w:rFonts w:ascii="Times New Roman" w:cs="Times New Roman" w:eastAsia="Times New Roman" w:hAnsi="Times New Roman"/>
          <w:sz w:val="12"/>
          <w:szCs w:val="12"/>
          <w:color w:val="008000"/>
        </w:rPr>
      </w:pPr>
    </w:p>
    <w:p>
      <w:pPr>
        <w:ind w:left="40" w:right="160" w:hanging="3"/>
        <w:spacing w:after="0" w:line="253"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One-fourth (1/4th) of the total number of RSUs subject to the Award will be scheduled to vest on the first Quarterly Vesting Date (as defined below) on or immediately following the one (1) year anniversary of the Vesting Commencement Date (such first vesting date, the First Vesting Date), and thereafter, one-sixteenth (1/16th) of the total number of RSUs subject to the Award will be scheduled to vest on each of the next twelve (12) consecutive Quarterly Vesting Dates that occur after the First Vesting Date, in each case subject to the Participant continuing to be a Service Provider through the applicable vesting date. Quarterly Vesting Dates means March 10, May 15, August 15, and November 15</w:t>
      </w:r>
    </w:p>
    <w:p>
      <w:pPr>
        <w:spacing w:after="0" w:line="17" w:lineRule="exact"/>
        <w:rPr>
          <w:rFonts w:ascii="Times New Roman" w:cs="Times New Roman" w:eastAsia="Times New Roman" w:hAnsi="Times New Roman"/>
          <w:sz w:val="12"/>
          <w:szCs w:val="12"/>
          <w:color w:val="008000"/>
        </w:rPr>
      </w:pPr>
    </w:p>
    <w:p>
      <w:pPr>
        <w:ind w:left="40" w:right="140" w:hanging="3"/>
        <w:spacing w:after="0" w:line="253"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One-eighth (1/8th) of the total number of RSUs subject to the Award will be scheduled to vest on the first Quarterly Vesting Date (as defined below) on or immediately following the date that is six (6) months following the Vesting Commencement Date (such first vesting date, the First Vesting Date), and thereafter, one-sixteenth (1/16th) of the total number of RSUs subject to the Award will be scheduled to vest on each of the next fourteen (14) consecutive Quarterly Vesting Dates that occur after the First Vesting Date, in each case subject to the Participant continuing to be a Service Provider through the applicable vesting date. Quarterly Vesting Dates means March 10, May 15, August 15, and November 15.</w:t>
      </w:r>
    </w:p>
    <w:p>
      <w:pPr>
        <w:spacing w:after="0" w:line="17" w:lineRule="exact"/>
        <w:rPr>
          <w:rFonts w:ascii="Times New Roman" w:cs="Times New Roman" w:eastAsia="Times New Roman" w:hAnsi="Times New Roman"/>
          <w:sz w:val="12"/>
          <w:szCs w:val="12"/>
          <w:color w:val="008000"/>
        </w:rPr>
      </w:pPr>
    </w:p>
    <w:p>
      <w:pPr>
        <w:ind w:left="40" w:right="140" w:hanging="3"/>
        <w:spacing w:after="0" w:line="282"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1/4th of the shares subject to the option vest on August 25, 2026 and 1/48th of the shares subject to the option vest each month thereafter, subject to the Reporting Person continuing as a service provider through each such date.</w:t>
      </w: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July 1, 2026, the Issuer cancelled the options listed in Table II. In exchange for the cancelled options, the Reporting Person received the 563,063 RSUs reported in Table I.</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Bobby Brown, by power of</w:t>
            </w:r>
          </w:p>
        </w:tc>
        <w:tc>
          <w:tcPr>
            <w:tcW w:w="10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07/02/2026</w:t>
            </w:r>
          </w:p>
        </w:tc>
        <w:tc>
          <w:tcPr>
            <w:tcW w:w="0" w:type="dxa"/>
            <w:vAlign w:val="bottom"/>
          </w:tcPr>
          <w:p>
            <w:pPr>
              <w:spacing w:after="0"/>
              <w:rPr>
                <w:sz w:val="1"/>
                <w:szCs w:val="1"/>
                <w:color w:val="auto"/>
              </w:rPr>
            </w:pPr>
          </w:p>
        </w:tc>
      </w:tr>
      <w:tr>
        <w:trPr>
          <w:trHeight w:val="80"/>
        </w:trPr>
        <w:tc>
          <w:tcPr>
            <w:tcW w:w="2080" w:type="dxa"/>
            <w:vAlign w:val="bottom"/>
            <w:gridSpan w:val="3"/>
            <w:vMerge w:val="restart"/>
          </w:tcPr>
          <w:p>
            <w:pPr>
              <w:spacing w:after="0" w:line="180" w:lineRule="exact"/>
              <w:rPr>
                <w:sz w:val="20"/>
                <w:szCs w:val="20"/>
                <w:color w:val="auto"/>
              </w:rPr>
            </w:pPr>
            <w:r>
              <w:rPr>
                <w:rFonts w:ascii="Times New Roman" w:cs="Times New Roman" w:eastAsia="Times New Roman" w:hAnsi="Times New Roman"/>
                <w:sz w:val="16"/>
                <w:szCs w:val="16"/>
                <w:color w:val="0000FF"/>
              </w:rPr>
              <w:t>attorney</w:t>
            </w: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0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8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5"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84546" TargetMode="External"/><Relationship Id="rId14" Type="http://schemas.openxmlformats.org/officeDocument/2006/relationships/hyperlink" Target="http://www.sec.gov/cgi-bin/browse-edgar?action=getcompany&amp;CIK=00018531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2026-07-02T15:51:51Z</dcterms:created>
  <dcterms:modified xsi:type="dcterms:W3CDTF">2026-07-02T15:51:51Z</dcterms:modified>
</cp:coreProperties>
</file>