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Major Zsuzsanna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KODIAK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1049 TERRA BELLA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Kodiak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KDK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2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480" w:type="dxa"/>
            <w:vAlign w:val="bottom"/>
            <w:gridSpan w:val="8"/>
            <w:vMerge w:val="restart"/>
          </w:tcPr>
          <w:p>
            <w:pPr>
              <w:ind w:left="1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20" w:type="dxa"/>
            <w:vAlign w:val="bottom"/>
            <w:gridSpan w:val="7"/>
            <w:vMerge w:val="continue"/>
          </w:tcPr>
          <w:p>
            <w:pPr>
              <w:spacing w:after="0"/>
              <w:rPr>
                <w:sz w:val="9"/>
                <w:szCs w:val="9"/>
                <w:color w:val="auto"/>
              </w:rPr>
            </w:pPr>
          </w:p>
        </w:tc>
        <w:tc>
          <w:tcPr>
            <w:tcW w:w="34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gridSpan w:val="2"/>
          </w:tcPr>
          <w:p>
            <w:pPr>
              <w:ind w:left="14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MOUNTAIN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94043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VIEW</w:t>
            </w:r>
          </w:p>
        </w:tc>
        <w:tc>
          <w:tcPr>
            <w:tcW w:w="56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1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200,333</w:t>
            </w:r>
            <w:r>
              <w:rPr>
                <w:rFonts w:ascii="Times New Roman" w:cs="Times New Roman" w:eastAsia="Times New Roman" w:hAnsi="Times New Roman"/>
                <w:sz w:val="22"/>
                <w:szCs w:val="22"/>
                <w:color w:val="008000"/>
                <w:vertAlign w:val="superscript"/>
              </w:rPr>
              <w:t>(1)(2)</w:t>
            </w: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210,333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Common Stock</w:t>
      </w:r>
    </w:p>
    <w:p>
      <w:pPr>
        <w:spacing w:after="0" w:line="5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One-eighth (1/8th) of the total number of RSUs subject to the Award will be scheduled to vest on the first Quarterly Vesting Date (as defined below) on or immediately following the date that is six (6) months following the Vesting Commencement Date (such first vesting date, the First Vesting Date), and thereafter, one-sixteenth (1/16th) of the total number of RSUs subject to the Award will be scheduled to vest on each of the next fourteen (14) consecutive Quarterly Vesting Dates that occur after the First Vesting Date, in each case subject to the Participant continuing to be a Service Provider through the applicable vesting date. Quarterly Vesting Dates means March 10, May 15, August 15, and November 15.</w:t>
      </w:r>
    </w:p>
    <w:p>
      <w:pPr>
        <w:sectPr>
          <w:pgSz w:w="11900" w:h="16838" w:orient="portrait"/>
          <w:cols w:equalWidth="0" w:num="1">
            <w:col w:w="11080"/>
          </w:cols>
          <w:pgMar w:left="460" w:top="219" w:right="359" w:bottom="1440" w:gutter="0" w:footer="0" w:header="0"/>
          <w:type w:val="continuous"/>
        </w:sectPr>
      </w:pP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Bobby Brown,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700" w:space="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80509" TargetMode="External"/><Relationship Id="rId14" Type="http://schemas.openxmlformats.org/officeDocument/2006/relationships/hyperlink" Target="http://www.sec.gov/cgi-bin/browse-edgar?action=getcompany&amp;CIK=00018531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2026-07-02T16:00:13Z</dcterms:created>
  <dcterms:modified xsi:type="dcterms:W3CDTF">2026-07-02T16:00:13Z</dcterms:modified>
</cp:coreProperties>
</file>