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July 1, 2026</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Kodiak AI, Inc.</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40" w:type="dxa"/>
            <w:vAlign w:val="bottom"/>
            <w:gridSpan w:val="3"/>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0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001-41691</w:t>
            </w: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98-1592112</w:t>
            </w:r>
          </w:p>
        </w:tc>
        <w:tc>
          <w:tcPr>
            <w:tcW w:w="20" w:type="dxa"/>
            <w:vAlign w:val="bottom"/>
          </w:tcPr>
          <w:p>
            <w:pPr>
              <w:spacing w:after="0"/>
              <w:rPr>
                <w:sz w:val="18"/>
                <w:szCs w:val="18"/>
                <w:color w:val="auto"/>
              </w:rPr>
            </w:pPr>
          </w:p>
        </w:tc>
      </w:tr>
      <w:tr>
        <w:trPr>
          <w:trHeight w:val="159"/>
        </w:trPr>
        <w:tc>
          <w:tcPr>
            <w:tcW w:w="36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3"/>
          </w:tcPr>
          <w:p>
            <w:pPr>
              <w:jc w:val="center"/>
              <w:ind w:right="880"/>
              <w:spacing w:after="0" w:line="158" w:lineRule="exact"/>
              <w:rPr>
                <w:sz w:val="20"/>
                <w:szCs w:val="20"/>
                <w:color w:val="auto"/>
              </w:rPr>
            </w:pPr>
            <w:r>
              <w:rPr>
                <w:rFonts w:ascii="Times New Roman" w:cs="Times New Roman" w:eastAsia="Times New Roman" w:hAnsi="Times New Roman"/>
                <w:sz w:val="16"/>
                <w:szCs w:val="16"/>
                <w:b w:val="1"/>
                <w:bCs w:val="1"/>
                <w:color w:val="auto"/>
              </w:rPr>
              <w:t>(Commission File Number)</w:t>
            </w:r>
          </w:p>
        </w:tc>
        <w:tc>
          <w:tcPr>
            <w:tcW w:w="80" w:type="dxa"/>
            <w:vAlign w:val="bottom"/>
          </w:tcPr>
          <w:p>
            <w:pPr>
              <w:spacing w:after="0"/>
              <w:rPr>
                <w:sz w:val="13"/>
                <w:szCs w:val="13"/>
                <w:color w:val="auto"/>
              </w:rPr>
            </w:pPr>
          </w:p>
        </w:tc>
        <w:tc>
          <w:tcPr>
            <w:tcW w:w="37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20" w:type="dxa"/>
            <w:vAlign w:val="bottom"/>
          </w:tcPr>
          <w:p>
            <w:pPr>
              <w:spacing w:after="0"/>
              <w:rPr>
                <w:sz w:val="13"/>
                <w:szCs w:val="13"/>
                <w:color w:val="auto"/>
              </w:rPr>
            </w:pPr>
          </w:p>
        </w:tc>
      </w:tr>
      <w:tr>
        <w:trPr>
          <w:trHeight w:val="212"/>
        </w:trPr>
        <w:tc>
          <w:tcPr>
            <w:tcW w:w="4640" w:type="dxa"/>
            <w:vAlign w:val="bottom"/>
            <w:gridSpan w:val="3"/>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c>
          <w:tcPr>
            <w:tcW w:w="20" w:type="dxa"/>
            <w:vAlign w:val="bottom"/>
          </w:tcPr>
          <w:p>
            <w:pPr>
              <w:spacing w:after="0"/>
              <w:rPr>
                <w:sz w:val="18"/>
                <w:szCs w:val="18"/>
                <w:color w:val="auto"/>
              </w:rPr>
            </w:pPr>
          </w:p>
        </w:tc>
      </w:tr>
      <w:tr>
        <w:trPr>
          <w:trHeight w:val="608"/>
        </w:trPr>
        <w:tc>
          <w:tcPr>
            <w:tcW w:w="4640" w:type="dxa"/>
            <w:vAlign w:val="bottom"/>
            <w:tcBorders>
              <w:bottom w:val="single" w:sz="8" w:color="auto"/>
            </w:tcBorders>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1049 Terra Bella Avenue, Mountain View, California</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479"/>
              <w:spacing w:after="0"/>
              <w:rPr>
                <w:sz w:val="20"/>
                <w:szCs w:val="20"/>
                <w:color w:val="auto"/>
              </w:rPr>
            </w:pPr>
            <w:r>
              <w:rPr>
                <w:rFonts w:ascii="Times New Roman" w:cs="Times New Roman" w:eastAsia="Times New Roman" w:hAnsi="Times New Roman"/>
                <w:sz w:val="16"/>
                <w:szCs w:val="16"/>
                <w:b w:val="1"/>
                <w:bCs w:val="1"/>
                <w:color w:val="auto"/>
              </w:rPr>
              <w:t>94043</w:t>
            </w:r>
          </w:p>
        </w:tc>
        <w:tc>
          <w:tcPr>
            <w:tcW w:w="20" w:type="dxa"/>
            <w:vAlign w:val="bottom"/>
            <w:tcBorders>
              <w:bottom w:val="single" w:sz="8" w:color="auto"/>
            </w:tcBorders>
          </w:tcPr>
          <w:p>
            <w:pPr>
              <w:spacing w:after="0"/>
              <w:rPr>
                <w:sz w:val="24"/>
                <w:szCs w:val="24"/>
                <w:color w:val="auto"/>
              </w:rPr>
            </w:pPr>
          </w:p>
        </w:tc>
      </w:tr>
      <w:tr>
        <w:trPr>
          <w:trHeight w:val="209"/>
        </w:trPr>
        <w:tc>
          <w:tcPr>
            <w:tcW w:w="464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20" w:type="dxa"/>
            <w:vAlign w:val="bottom"/>
          </w:tcPr>
          <w:p>
            <w:pPr>
              <w:spacing w:after="0"/>
              <w:rPr>
                <w:sz w:val="18"/>
                <w:szCs w:val="18"/>
                <w:color w:val="auto"/>
              </w:rPr>
            </w:pPr>
          </w:p>
        </w:tc>
      </w:tr>
      <w:tr>
        <w:trPr>
          <w:trHeight w:val="322"/>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(650) 209-8005</w:t>
            </w: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15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w:t>
            </w:r>
          </w:p>
        </w:tc>
        <w:tc>
          <w:tcPr>
            <w:tcW w:w="0" w:type="dxa"/>
            <w:vAlign w:val="bottom"/>
          </w:tcPr>
          <w:p>
            <w:pPr>
              <w:spacing w:after="0"/>
              <w:rPr>
                <w:sz w:val="1"/>
                <w:szCs w:val="1"/>
                <w:color w:val="auto"/>
              </w:rPr>
            </w:pPr>
          </w:p>
        </w:tc>
      </w:tr>
      <w:tr>
        <w:trPr>
          <w:trHeight w:val="214"/>
        </w:trPr>
        <w:tc>
          <w:tcPr>
            <w:tcW w:w="3760" w:type="dxa"/>
            <w:vAlign w:val="bottom"/>
            <w:gridSpan w:val="2"/>
            <w:vMerge w:val="continue"/>
          </w:tcPr>
          <w:p>
            <w:pPr>
              <w:spacing w:after="0"/>
              <w:rPr>
                <w:sz w:val="18"/>
                <w:szCs w:val="18"/>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 on which registered</w:t>
            </w:r>
          </w:p>
        </w:tc>
        <w:tc>
          <w:tcPr>
            <w:tcW w:w="0" w:type="dxa"/>
            <w:vAlign w:val="bottom"/>
          </w:tcPr>
          <w:p>
            <w:pPr>
              <w:spacing w:after="0"/>
              <w:rPr>
                <w:sz w:val="1"/>
                <w:szCs w:val="1"/>
                <w:color w:val="auto"/>
              </w:rPr>
            </w:pPr>
          </w:p>
        </w:tc>
      </w:tr>
      <w:tr>
        <w:trPr>
          <w:trHeight w:val="206"/>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8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KDK</w:t>
            </w:r>
          </w:p>
        </w:tc>
        <w:tc>
          <w:tcPr>
            <w:tcW w:w="8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451"/>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Redeemable warrants, each exercisable for one share of</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KDKRW</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common stock at an exercise price of $9.28</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right="58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or Rule 12b-2 of the Securities Exchange Act of 1934 (§ 240.12b-2).</w:t>
      </w:r>
    </w:p>
    <w:p>
      <w:pPr>
        <w:spacing w:after="0" w:line="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80"/>
        <w:spacing w:after="0" w:line="33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Compensatory Arrangements of Named Executive Officers</w:t>
      </w:r>
    </w:p>
    <w:p>
      <w:pPr>
        <w:spacing w:after="0" w:line="16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July 1, 2026, 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following a review of the Company’s executive compensation program by its independent compensation consultant and the Compensation Committee of the Board of Directors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made certain changes to annual compensation for Don Burnette, Chief Executive Officer, Surajit Datta, Chief Financial Officer, and Michael Wiesinger, Chief Operating Officer. The Compensation Committee approved the increase of Mr. Burnette’s base salary from $425,000 to $525,000 and approved an annual incentive bonus opportunity of up to 100% of his base salary, an increase from 80% of his base salary that was previously in effect. In addition, the Compensation Committee approved the increase of Mr. Datta’s base salary from $400,000 to $450,000, and the increase of Mr. Wiesinger’s base salary from $400,000 to $450,000. These changes are effective as of July 1, 2026.</w:t>
      </w:r>
    </w:p>
    <w:p>
      <w:pPr>
        <w:spacing w:after="0" w:line="1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on July 1, 2026, the Compensation Committee approved grants of time-based restricted stock units under the Company’s 2025 Equity Incentive Plan (the “</w:t>
      </w:r>
      <w:r>
        <w:rPr>
          <w:rFonts w:ascii="Times New Roman" w:cs="Times New Roman" w:eastAsia="Times New Roman" w:hAnsi="Times New Roman"/>
          <w:sz w:val="18"/>
          <w:szCs w:val="18"/>
          <w:b w:val="1"/>
          <w:bCs w:val="1"/>
          <w:color w:val="auto"/>
        </w:rPr>
        <w:t>2025 Plan</w:t>
      </w:r>
      <w:r>
        <w:rPr>
          <w:rFonts w:ascii="Times New Roman" w:cs="Times New Roman" w:eastAsia="Times New Roman" w:hAnsi="Times New Roman"/>
          <w:sz w:val="18"/>
          <w:szCs w:val="18"/>
          <w:color w:val="auto"/>
        </w:rPr>
        <w:t>”) to Messrs. Burnette, Datta and Wiesinger with intended values at grant of $7,000,000, $2,500,000 and $2,500,000, respectively (together, the “</w:t>
      </w:r>
      <w:r>
        <w:rPr>
          <w:rFonts w:ascii="Times New Roman" w:cs="Times New Roman" w:eastAsia="Times New Roman" w:hAnsi="Times New Roman"/>
          <w:sz w:val="18"/>
          <w:szCs w:val="18"/>
          <w:b w:val="1"/>
          <w:bCs w:val="1"/>
          <w:color w:val="auto"/>
        </w:rPr>
        <w:t>Executive RSUs</w:t>
      </w:r>
      <w:r>
        <w:rPr>
          <w:rFonts w:ascii="Times New Roman" w:cs="Times New Roman" w:eastAsia="Times New Roman" w:hAnsi="Times New Roman"/>
          <w:sz w:val="18"/>
          <w:szCs w:val="18"/>
          <w:color w:val="auto"/>
        </w:rPr>
        <w:t>”). The Executive RSUs will vest quarterly over a four-year period, in each case, subject to a six-month vesting cliff and the applicable executive's continued service with the Company through the applicable vesting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Cancellation of Datta Option and Award of Restricted Stock Units</w:t>
      </w:r>
    </w:p>
    <w:p>
      <w:pPr>
        <w:spacing w:after="0" w:line="17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July 1, 2026, the Company and Mr. Datta mutually agreed to cancel the time-based option to purchase 2,035,915 shares of the Company’s common stock at a price per share of $8.88 that was previously granted to Mr. Datta on August 27, 2025, in connection with his commencement of employment (the “</w:t>
      </w:r>
      <w:r>
        <w:rPr>
          <w:rFonts w:ascii="Times New Roman" w:cs="Times New Roman" w:eastAsia="Times New Roman" w:hAnsi="Times New Roman"/>
          <w:sz w:val="18"/>
          <w:szCs w:val="18"/>
          <w:b w:val="1"/>
          <w:bCs w:val="1"/>
          <w:color w:val="auto"/>
        </w:rPr>
        <w:t>Datta Option</w:t>
      </w:r>
      <w:r>
        <w:rPr>
          <w:rFonts w:ascii="Times New Roman" w:cs="Times New Roman" w:eastAsia="Times New Roman" w:hAnsi="Times New Roman"/>
          <w:sz w:val="18"/>
          <w:szCs w:val="18"/>
          <w:color w:val="auto"/>
        </w:rPr>
        <w:t>”). In consideration of the cancellation of the Datta Option, the Compensation Committee approved a grant of 563,063 time-based restricted stock units under the 2025 Plan to Mr. Datta (the “</w:t>
      </w:r>
      <w:r>
        <w:rPr>
          <w:rFonts w:ascii="Times New Roman" w:cs="Times New Roman" w:eastAsia="Times New Roman" w:hAnsi="Times New Roman"/>
          <w:sz w:val="18"/>
          <w:szCs w:val="18"/>
          <w:b w:val="1"/>
          <w:bCs w:val="1"/>
          <w:color w:val="auto"/>
        </w:rPr>
        <w:t>Datta RSUs</w:t>
      </w:r>
      <w:r>
        <w:rPr>
          <w:rFonts w:ascii="Times New Roman" w:cs="Times New Roman" w:eastAsia="Times New Roman" w:hAnsi="Times New Roman"/>
          <w:sz w:val="18"/>
          <w:szCs w:val="18"/>
          <w:color w:val="auto"/>
        </w:rPr>
        <w:t>”). The Datta RSUs will vest quarterly over a four-year period from the vesting commencement date of the Datta Option, subject to a one-year vesting cliff and Mr. Datta’s continued service with the Company through the applicable vesting date.</w:t>
      </w:r>
    </w:p>
    <w:p>
      <w:pPr>
        <w:spacing w:after="0" w:line="13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Executive RSUs and the Datta RSUs are not complete and are qualified in their entirety by reference to the 2025 Plan and the form of restricted stock unit agreement thereunder, which are filed as Exhibit 10.2 to the Company's Annual Report on Form 10-K for the year ended December 31, 2025 and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900" w:type="dxa"/>
            <w:vAlign w:val="bottom"/>
            <w:tcBorders>
              <w:bottom w:val="single" w:sz="8" w:color="auto"/>
            </w:tcBorders>
          </w:tcPr>
          <w:p>
            <w:pPr>
              <w:spacing w:after="0"/>
              <w:rPr>
                <w:sz w:val="2"/>
                <w:szCs w:val="2"/>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663"/>
        </w:trPr>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310"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Surajit Datta</w:t>
            </w:r>
          </w:p>
        </w:tc>
      </w:tr>
      <w:tr>
        <w:trPr>
          <w:trHeight w:val="22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Surajit Datta</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2, 2026</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2026-07-02T15:10:42Z</dcterms:created>
  <dcterms:modified xsi:type="dcterms:W3CDTF">2026-07-02T15:10:42Z</dcterms:modified>
</cp:coreProperties>
</file>