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6476" w:type="dxa"/>
        <w:jc w:val="left"/>
        <w:tblInd w:w="0" w:type="dxa"/>
        <w:tblLayout w:type="fixed"/>
        <w:tblCellMar>
          <w:top w:w="28" w:type="dxa"/>
          <w:left w:w="28" w:type="dxa"/>
          <w:bottom w:w="28" w:type="dxa"/>
          <w:right w:w="28" w:type="dxa"/>
        </w:tblCellMar>
      </w:tblPr>
      <w:tblGrid>
        <w:gridCol w:w="1194"/>
        <w:gridCol w:w="1051"/>
        <w:gridCol w:w="1054"/>
        <w:gridCol w:w="109"/>
        <w:gridCol w:w="109"/>
        <w:gridCol w:w="109"/>
        <w:gridCol w:w="833"/>
        <w:gridCol w:w="833"/>
        <w:gridCol w:w="1184"/>
      </w:tblGrid>
      <w:tr>
        <w:trPr/>
        <w:tc>
          <w:tcPr>
            <w:tcW w:w="1194"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 SUPPLEMENT NO. 4</w:t>
            </w:r>
          </w:p>
          <w:p>
            <w:pPr>
              <w:pStyle w:val="TableContents"/>
              <w:bidi w:val="0"/>
              <w:spacing w:lineRule="auto" w:line="288" w:before="0" w:after="20"/>
              <w:jc w:val="left"/>
              <w:rPr>
                <w:rFonts w:ascii="Times New Roman;serif" w:hAnsi="Times New Roman;serif"/>
                <w:b/>
                <w:color w:val="000000"/>
                <w:sz w:val="20"/>
              </w:rPr>
            </w:pPr>
            <w:r>
              <w:rPr>
                <w:rFonts w:ascii="Times New Roman;serif" w:hAnsi="Times New Roman;serif"/>
                <w:b/>
                <w:color w:val="000000"/>
                <w:sz w:val="20"/>
              </w:rPr>
              <w:t>(to Prospectus dated March 16,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ableContents"/>
              <w:bidi w:val="0"/>
              <w:spacing w:lineRule="auto" w:line="288" w:before="0" w:after="20"/>
              <w:jc w:val="right"/>
              <w:rPr>
                <w:rFonts w:ascii="Times New Roman;serif" w:hAnsi="Times New Roman;serif"/>
                <w:b/>
                <w:color w:val="000000"/>
                <w:sz w:val="20"/>
              </w:rPr>
            </w:pPr>
            <w:r>
              <w:rPr>
                <w:rFonts w:ascii="Times New Roman;serif" w:hAnsi="Times New Roman;serif"/>
                <w:b/>
                <w:color w:val="000000"/>
                <w:sz w:val="20"/>
              </w:rPr>
              <w:t>Registration No. 333-290832</w:t>
            </w:r>
          </w:p>
        </w:tc>
      </w:tr>
    </w:tbl>
    <w:p>
      <w:pPr>
        <w:pStyle w:val="TextBody"/>
        <w:bidi w:val="0"/>
        <w:spacing w:lineRule="auto" w:line="288" w:before="0" w:after="180"/>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 xml:space="preserve">Kodiak AI, Inc. </w:t>
      </w:r>
    </w:p>
    <w:p>
      <w:pPr>
        <w:pStyle w:val="TextBody"/>
        <w:bidi w:val="0"/>
        <w:spacing w:before="0" w:after="180"/>
        <w:jc w:val="center"/>
        <w:rPr>
          <w:shd w:fill="FFFFFF" w:val="clear"/>
        </w:rPr>
      </w:pPr>
      <w:r>
        <w:rPr>
          <w:shd w:fill="FFFFFF" w:val="clear"/>
        </w:rPr>
        <w:drawing>
          <wp:inline distT="0" distB="0" distL="0" distR="0">
            <wp:extent cx="542925"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42925" cy="542925"/>
                    </a:xfrm>
                    <a:prstGeom prst="rect">
                      <a:avLst/>
                    </a:prstGeom>
                  </pic:spPr>
                </pic:pic>
              </a:graphicData>
            </a:graphic>
          </wp:inline>
        </w:drawing>
      </w:r>
    </w:p>
    <w:p>
      <w:pPr>
        <w:pStyle w:val="TextBody"/>
        <w:bidi w:val="0"/>
        <w:spacing w:lineRule="auto" w:line="288" w:before="0" w:after="18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is being filed to update and supplement the information contained in the prospectus dated March 16, 2026 (as supplemented from time to time, the “Prospectus”) filed by Kodiak AI, Inc. (the “Company”) with the information contained in the Company’s Current Report on Form 8-K, filed with the SEC on July 2, 2026 (the “Form 8-K”). Accordingly, we have attached the Form 8-K to this prospectus supplement. </w:t>
      </w:r>
    </w:p>
    <w:p>
      <w:pPr>
        <w:pStyle w:val="TextBody"/>
        <w:bidi w:val="0"/>
        <w:spacing w:lineRule="auto" w:line="288" w:before="0" w:after="18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This prospectus supplement updates and supplements the information in the Prospectus and is not complete without, and may not be delivered or utilized except in combination with, the Prospectus, including any amendments or supplements thereto. This prospectus supplement should be read in conjunction with the Prospectus and if there is any inconsistency between the information in the Prospectus and this prospectus supplement, you should rely on the information in this prospectus supplement. </w:t>
      </w:r>
    </w:p>
    <w:p>
      <w:pPr>
        <w:pStyle w:val="TextBody"/>
        <w:bidi w:val="0"/>
        <w:spacing w:lineRule="auto" w:line="288" w:before="0" w:after="180"/>
        <w:ind w:left="0" w:right="0" w:firstLine="49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common stock and public warrants are listed on The Nasdaq Stock Market LLC (the “Nasdaq”) under the symbols “KDK” and “KDKRW,” respectively. On July 1, 2026, the last reported sales prices for our common stock and public warrants on the Nasdaq were $5.53 and $0.82, respectively. </w:t>
      </w:r>
    </w:p>
    <w:p>
      <w:pPr>
        <w:pStyle w:val="TextBody"/>
        <w:bidi w:val="0"/>
        <w:spacing w:lineRule="auto" w:line="288" w:before="0" w:after="180"/>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We are an “emerging growth company,” as defined under the federal securities laws, and, as such, may elect to comply with certain reduced public company reporting requirements. </w:t>
      </w:r>
    </w:p>
    <w:p>
      <w:pPr>
        <w:pStyle w:val="TextBody"/>
        <w:bidi w:val="0"/>
        <w:spacing w:lineRule="auto" w:line="288" w:before="0" w:after="180"/>
        <w:ind w:left="0" w:right="0" w:firstLine="490"/>
        <w:jc w:val="left"/>
        <w:rPr>
          <w:shd w:fill="FFFFFF" w:val="clear"/>
        </w:rPr>
      </w:pPr>
      <w:r>
        <w:rPr>
          <w:rFonts w:ascii="Times New Roman;serif" w:hAnsi="Times New Roman;serif"/>
          <w:b/>
          <w:color w:val="000000"/>
          <w:sz w:val="24"/>
          <w:shd w:fill="FFFFFF" w:val="clear"/>
        </w:rPr>
        <w:t>Investing in our securities involves a high degree of risk. Before buying any securities, you should carefully read the discussion of the risks of investing in our securities in “</w:t>
      </w:r>
      <w:r>
        <w:rPr>
          <w:rFonts w:ascii="Times New Roman;serif" w:hAnsi="Times New Roman;serif"/>
          <w:b/>
          <w:i/>
          <w:color w:val="000000"/>
          <w:sz w:val="24"/>
          <w:shd w:fill="FFFFFF" w:val="clear"/>
        </w:rPr>
        <w:t>Risk Factors</w:t>
      </w:r>
      <w:r>
        <w:rPr>
          <w:color w:val="000000"/>
          <w:shd w:fill="FFFFFF" w:val="clear"/>
        </w:rPr>
        <w:t xml:space="preserve">” </w:t>
      </w:r>
      <w:r>
        <w:rPr>
          <w:rFonts w:ascii="Times New Roman;serif" w:hAnsi="Times New Roman;serif"/>
          <w:b/>
          <w:color w:val="000000"/>
          <w:sz w:val="24"/>
          <w:shd w:fill="FFFFFF" w:val="clear"/>
        </w:rPr>
        <w:t xml:space="preserve">beginning on page 12 of the Prospectus. </w:t>
      </w:r>
    </w:p>
    <w:p>
      <w:pPr>
        <w:pStyle w:val="TextBody"/>
        <w:bidi w:val="0"/>
        <w:spacing w:lineRule="auto" w:line="288" w:before="0" w:after="180"/>
        <w:ind w:left="0" w:right="0" w:firstLine="49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uto" w:line="288" w:before="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The date of this prospectus supplement is July 2, 2026 </w:t>
      </w:r>
    </w:p>
    <w:p>
      <w:pPr>
        <w:pStyle w:val="TextBody"/>
        <w:bidi w:val="0"/>
        <w:spacing w:before="0" w:after="0"/>
        <w:jc w:val="left"/>
        <w:rPr/>
      </w:pPr>
      <w:r>
        <w:rPr/>
        <w:t> </w:t>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33"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33"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333" w:before="0" w:after="12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333"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333"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w:t>
      </w:r>
    </w:p>
    <w:p>
      <w:pPr>
        <w:pStyle w:val="TextBody"/>
        <w:bidi w:val="0"/>
        <w:spacing w:lineRule="auto" w:line="333" w:before="0" w:after="120"/>
        <w:jc w:val="center"/>
        <w:rPr>
          <w:rFonts w:ascii="Times New Roman;serif" w:hAnsi="Times New Roman;serif"/>
          <w:b/>
          <w:color w:val="000000"/>
          <w:sz w:val="22"/>
        </w:rPr>
      </w:pPr>
      <w:r>
        <w:rPr>
          <w:rFonts w:ascii="Times New Roman;serif" w:hAnsi="Times New Roman;serif"/>
          <w:b/>
          <w:color w:val="000000"/>
          <w:sz w:val="22"/>
        </w:rPr>
        <w:t>of the Securities Exchange Act of 1934</w:t>
      </w:r>
    </w:p>
    <w:p>
      <w:pPr>
        <w:pStyle w:val="TextBody"/>
        <w:bidi w:val="0"/>
        <w:spacing w:lineRule="auto" w:line="333" w:before="0" w:after="60"/>
        <w:jc w:val="center"/>
        <w:rPr>
          <w:rFonts w:ascii="Times New Roman;serif" w:hAnsi="Times New Roman;serif"/>
          <w:b/>
          <w:color w:val="000000"/>
          <w:sz w:val="22"/>
        </w:rPr>
      </w:pPr>
      <w:r>
        <w:rPr>
          <w:rFonts w:ascii="Times New Roman;serif" w:hAnsi="Times New Roman;serif"/>
          <w:b/>
          <w:color w:val="000000"/>
          <w:sz w:val="22"/>
        </w:rPr>
        <w:t>Date of report (Date of earliest event reported): July 1, 2026</w:t>
      </w:r>
    </w:p>
    <w:p>
      <w:pPr>
        <w:pStyle w:val="TextBody"/>
        <w:bidi w:val="0"/>
        <w:spacing w:lineRule="auto" w:line="333" w:before="0" w:after="0"/>
        <w:jc w:val="center"/>
        <w:rPr>
          <w:rFonts w:ascii="Times New Roman;serif" w:hAnsi="Times New Roman;serif"/>
          <w:b/>
          <w:color w:val="000000"/>
          <w:sz w:val="32"/>
        </w:rPr>
      </w:pPr>
      <w:r>
        <w:rPr>
          <w:rFonts w:ascii="Times New Roman;serif" w:hAnsi="Times New Roman;serif"/>
          <w:b/>
          <w:color w:val="000000"/>
          <w:sz w:val="32"/>
        </w:rPr>
        <w:t>Kodiak AI, Inc.</w:t>
      </w:r>
    </w:p>
    <w:p>
      <w:pPr>
        <w:pStyle w:val="TextBody"/>
        <w:bidi w:val="0"/>
        <w:spacing w:lineRule="auto" w:line="333" w:before="0" w:after="320"/>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tbl>
      <w:tblPr>
        <w:tblW w:w="7222" w:type="dxa"/>
        <w:jc w:val="left"/>
        <w:tblInd w:w="0" w:type="dxa"/>
        <w:tblLayout w:type="fixed"/>
        <w:tblCellMar>
          <w:top w:w="28" w:type="dxa"/>
          <w:left w:w="28" w:type="dxa"/>
          <w:bottom w:w="28" w:type="dxa"/>
          <w:right w:w="28" w:type="dxa"/>
        </w:tblCellMar>
      </w:tblPr>
      <w:tblGrid>
        <w:gridCol w:w="883"/>
        <w:gridCol w:w="779"/>
        <w:gridCol w:w="783"/>
        <w:gridCol w:w="109"/>
        <w:gridCol w:w="109"/>
        <w:gridCol w:w="109"/>
        <w:gridCol w:w="727"/>
        <w:gridCol w:w="727"/>
        <w:gridCol w:w="735"/>
        <w:gridCol w:w="109"/>
        <w:gridCol w:w="109"/>
        <w:gridCol w:w="109"/>
        <w:gridCol w:w="564"/>
        <w:gridCol w:w="564"/>
        <w:gridCol w:w="806"/>
      </w:tblGrid>
      <w:tr>
        <w:trPr/>
        <w:tc>
          <w:tcPr>
            <w:tcW w:w="88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8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001-41691</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98-1592112</w:t>
            </w:r>
          </w:p>
        </w:tc>
      </w:tr>
      <w:tr>
        <w:trPr/>
        <w:tc>
          <w:tcPr>
            <w:tcW w:w="2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(State or other jurisdiction of</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(I.R.S. Employer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Identification Number)</w:t>
            </w:r>
          </w:p>
        </w:tc>
      </w:tr>
    </w:tbl>
    <w:p>
      <w:pPr>
        <w:pStyle w:val="TextBody"/>
        <w:bidi w:val="0"/>
        <w:spacing w:before="0" w:after="0"/>
        <w:jc w:val="left"/>
        <w:rPr/>
      </w:pPr>
      <w:r>
        <w:rPr/>
      </w:r>
    </w:p>
    <w:tbl>
      <w:tblPr>
        <w:tblW w:w="5486" w:type="dxa"/>
        <w:jc w:val="left"/>
        <w:tblInd w:w="0" w:type="dxa"/>
        <w:tblLayout w:type="fixed"/>
        <w:tblCellMar>
          <w:top w:w="28" w:type="dxa"/>
          <w:left w:w="28" w:type="dxa"/>
          <w:bottom w:w="28" w:type="dxa"/>
          <w:right w:w="28" w:type="dxa"/>
        </w:tblCellMar>
      </w:tblPr>
      <w:tblGrid>
        <w:gridCol w:w="1509"/>
        <w:gridCol w:w="1327"/>
        <w:gridCol w:w="1333"/>
        <w:gridCol w:w="109"/>
        <w:gridCol w:w="109"/>
        <w:gridCol w:w="109"/>
        <w:gridCol w:w="290"/>
        <w:gridCol w:w="290"/>
        <w:gridCol w:w="410"/>
      </w:tblGrid>
      <w:tr>
        <w:trPr/>
        <w:tc>
          <w:tcPr>
            <w:tcW w:w="1509"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1049 Terra Bella Avenue, Mountain View, California</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94043</w:t>
            </w:r>
          </w:p>
        </w:tc>
      </w:tr>
      <w:tr>
        <w:trPr/>
        <w:tc>
          <w:tcPr>
            <w:tcW w:w="4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(Zip Code)</w:t>
            </w:r>
          </w:p>
        </w:tc>
      </w:tr>
    </w:tbl>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(650) 209-8005</w:t>
      </w:r>
    </w:p>
    <w:p>
      <w:pPr>
        <w:pStyle w:val="TextBody"/>
        <w:bidi w:val="0"/>
        <w:spacing w:lineRule="auto" w:line="333" w:before="0" w:after="240"/>
        <w:jc w:val="center"/>
        <w:rPr>
          <w:rFonts w:ascii="Times New Roman;serif" w:hAnsi="Times New Roman;serif"/>
          <w:b/>
          <w:color w:val="000000"/>
          <w:sz w:val="18"/>
        </w:rPr>
      </w:pPr>
      <w:r>
        <w:rPr>
          <w:rFonts w:ascii="Times New Roman;serif" w:hAnsi="Times New Roman;serif"/>
          <w:b/>
          <w:color w:val="000000"/>
          <w:sz w:val="18"/>
        </w:rPr>
        <w:t>(Registrant’s telephone number, including area code)</w:t>
      </w:r>
    </w:p>
    <w:p>
      <w:pPr>
        <w:pStyle w:val="TextBody"/>
        <w:bidi w:val="0"/>
        <w:spacing w:lineRule="auto" w:line="333" w:before="0" w:after="0"/>
        <w:jc w:val="center"/>
        <w:rPr>
          <w:rFonts w:ascii="Times New Roman;serif" w:hAnsi="Times New Roman;serif"/>
          <w:b/>
          <w:color w:val="000000"/>
          <w:sz w:val="18"/>
        </w:rPr>
      </w:pPr>
      <w:r>
        <w:rPr>
          <w:rFonts w:ascii="Times New Roman;serif" w:hAnsi="Times New Roman;serif"/>
          <w:b/>
          <w:color w:val="000000"/>
          <w:sz w:val="18"/>
        </w:rPr>
        <w:t>Not Applicable</w:t>
      </w:r>
    </w:p>
    <w:p>
      <w:pPr>
        <w:pStyle w:val="TextBody"/>
        <w:bidi w:val="0"/>
        <w:spacing w:lineRule="auto" w:line="333" w:before="0" w:after="120"/>
        <w:jc w:val="center"/>
        <w:rPr>
          <w:rFonts w:ascii="Times New Roman;serif" w:hAnsi="Times New Roman;serif"/>
          <w:b/>
          <w:color w:val="000000"/>
          <w:sz w:val="18"/>
        </w:rPr>
      </w:pPr>
      <w:r>
        <w:rPr>
          <w:rFonts w:ascii="Times New Roman;serif" w:hAnsi="Times New Roman;serif"/>
          <w:b/>
          <w:color w:val="000000"/>
          <w:sz w:val="18"/>
        </w:rPr>
        <w:t>(Former name or former address, if changed since last report)</w:t>
      </w:r>
    </w:p>
    <w:p>
      <w:pPr>
        <w:pStyle w:val="TextBody"/>
        <w:bidi w:val="0"/>
        <w:spacing w:lineRule="auto" w:line="333" w:before="0" w:after="12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w:t>
      </w:r>
    </w:p>
    <w:p>
      <w:pPr>
        <w:pStyle w:val="TextBody"/>
        <w:bidi w:val="0"/>
        <w:spacing w:lineRule="auto" w:line="333" w:before="0" w:after="120"/>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Written communications pursuant to Rule 425 under the Securities Act (17 CFR 230.425)</w:t>
      </w:r>
    </w:p>
    <w:p>
      <w:pPr>
        <w:pStyle w:val="TextBody"/>
        <w:bidi w:val="0"/>
        <w:spacing w:lineRule="auto" w:line="333" w:before="0" w:after="120"/>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333" w:before="0" w:after="120"/>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Pre-commencement communications pursuant to Rule 14d-2(b) under the Exchange Act (17 CFR 240.14d-2(b))</w:t>
      </w:r>
    </w:p>
    <w:p>
      <w:pPr>
        <w:pStyle w:val="TextBody"/>
        <w:bidi w:val="0"/>
        <w:spacing w:lineRule="auto" w:line="333" w:before="0" w:after="120"/>
        <w:jc w:val="left"/>
        <w:rPr/>
      </w:pPr>
      <w:r>
        <w:rPr>
          <w:rFonts w:ascii="Wingdings;sans-serif" w:hAnsi="Wingdings;sans-serif"/>
          <w:b w:val="false"/>
          <w:color w:val="000000"/>
          <w:sz w:val="18"/>
        </w:rPr>
        <w:t>o</w:t>
      </w:r>
      <w:r>
        <w:rPr>
          <w:color w:val="000000"/>
        </w:rPr>
        <w:t xml:space="preserve"> </w:t>
      </w:r>
      <w:r>
        <w:rPr>
          <w:rFonts w:ascii="Times New Roman;serif" w:hAnsi="Times New Roman;serif"/>
          <w:b w:val="false"/>
          <w:color w:val="000000"/>
          <w:sz w:val="18"/>
        </w:rPr>
        <w:t>Pre-commencement communications pursuant to Rule 13e-4(c) under the Exchange Act (17 CFR 240.13e-4(c))</w:t>
      </w:r>
    </w:p>
    <w:p>
      <w:pPr>
        <w:pStyle w:val="TextBody"/>
        <w:bidi w:val="0"/>
        <w:spacing w:lineRule="auto" w:line="333" w:before="0" w:after="320"/>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366"/>
        <w:gridCol w:w="2033"/>
        <w:gridCol w:w="2045"/>
        <w:gridCol w:w="109"/>
        <w:gridCol w:w="109"/>
        <w:gridCol w:w="109"/>
        <w:gridCol w:w="294"/>
        <w:gridCol w:w="289"/>
        <w:gridCol w:w="290"/>
        <w:gridCol w:w="109"/>
        <w:gridCol w:w="109"/>
        <w:gridCol w:w="109"/>
        <w:gridCol w:w="653"/>
        <w:gridCol w:w="653"/>
        <w:gridCol w:w="928"/>
      </w:tblGrid>
      <w:tr>
        <w:trPr/>
        <w:tc>
          <w:tcPr>
            <w:tcW w:w="2366"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6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Trading</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Symbol(s)</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Name of each</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exchange on which registered</w:t>
            </w:r>
          </w:p>
        </w:tc>
      </w:tr>
      <w:tr>
        <w:trPr/>
        <w:tc>
          <w:tcPr>
            <w:tcW w:w="6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KDK</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6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Redeemable warrants, each exercisable for one share of common stock at an exercise price of $9.28</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7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KDKRW</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22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lineRule="auto" w:line="333" w:before="0" w:after="12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 230.405) or Rule 12b-2 of the Securities Exchange Act of 1934 (§ 240.12b-2).</w:t>
      </w:r>
    </w:p>
    <w:p>
      <w:pPr>
        <w:pStyle w:val="TextBody"/>
        <w:bidi w:val="0"/>
        <w:spacing w:lineRule="atLeast" w:line="216" w:before="0" w:after="120"/>
        <w:jc w:val="left"/>
        <w:rPr/>
      </w:pPr>
      <w:r>
        <w:rPr>
          <w:rFonts w:ascii="Times New Roman;serif" w:hAnsi="Times New Roman;serif"/>
          <w:b w:val="false"/>
          <w:color w:val="000000"/>
          <w:sz w:val="18"/>
        </w:rPr>
        <w:t xml:space="preserve">Emerging growth company </w:t>
      </w:r>
      <w:r>
        <w:rPr>
          <w:color w:val="000000"/>
        </w:rPr>
        <w:t>☒</w:t>
      </w:r>
    </w:p>
    <w:p>
      <w:pPr>
        <w:pStyle w:val="TextBody"/>
        <w:bidi w:val="0"/>
        <w:spacing w:lineRule="auto" w:line="333" w:before="0" w:after="12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Compensatory Arrangements of Named Executive Officers </w:t>
      </w:r>
    </w:p>
    <w:p>
      <w:pPr>
        <w:pStyle w:val="TextBody"/>
        <w:bidi w:val="0"/>
        <w:spacing w:lineRule="auto" w:line="288" w:before="0" w:after="180"/>
        <w:ind w:left="0" w:right="0" w:firstLine="720"/>
        <w:jc w:val="left"/>
        <w:rPr/>
      </w:pPr>
      <w:r>
        <w:rPr>
          <w:rFonts w:ascii="Times New Roman;serif" w:hAnsi="Times New Roman;serif"/>
          <w:b w:val="false"/>
          <w:color w:val="000000"/>
          <w:sz w:val="20"/>
        </w:rPr>
        <w:t>On July 1, 2026, Kodiak AI, Inc. (the “</w:t>
      </w:r>
      <w:r>
        <w:rPr>
          <w:rFonts w:ascii="Times New Roman;serif" w:hAnsi="Times New Roman;serif"/>
          <w:b/>
          <w:color w:val="000000"/>
          <w:sz w:val="20"/>
        </w:rPr>
        <w:t>Company</w:t>
      </w:r>
      <w:r>
        <w:rPr>
          <w:color w:val="000000"/>
        </w:rPr>
        <w:t>”</w:t>
      </w:r>
      <w:r>
        <w:rPr>
          <w:rFonts w:ascii="Times New Roman;serif" w:hAnsi="Times New Roman;serif"/>
          <w:b w:val="false"/>
          <w:color w:val="000000"/>
          <w:sz w:val="20"/>
        </w:rPr>
        <w:t>), following a review of the Company’s executive compensation program by its independent compensation consultant and the Compensation Committee of the Board of Directors (the “</w:t>
      </w:r>
      <w:r>
        <w:rPr>
          <w:rFonts w:ascii="Times New Roman;serif" w:hAnsi="Times New Roman;serif"/>
          <w:b/>
          <w:color w:val="000000"/>
          <w:sz w:val="20"/>
        </w:rPr>
        <w:t>Compensation Committee</w:t>
      </w:r>
      <w:r>
        <w:rPr>
          <w:color w:val="000000"/>
        </w:rPr>
        <w:t>”</w:t>
      </w:r>
      <w:r>
        <w:rPr>
          <w:rFonts w:ascii="Times New Roman;serif" w:hAnsi="Times New Roman;serif"/>
          <w:b w:val="false"/>
          <w:color w:val="000000"/>
          <w:sz w:val="20"/>
        </w:rPr>
        <w:t>), made certain changes to annual compensation for Don Burnette, Chief Executive Officer, Surajit Datta, Chief Financial Officer, and Michael Wiesinger, Chief Operating Officer. The Compensation Committee approved the increase of Mr. Burnette’s base salary from $425,000 to $525,000 and approved an annual incentive bonus opportunity of up to 100% of his base salary, an increase from 80% of his base salary that was previously in effect. In addition, the Compensation Committee approved the increase of Mr. Datta’s base salary from $400,000 to $450,000, and the increase of Mr. Wiesinger’s base salary from $400,000 to $450,000. These changes are effective as of July 1, 2026.</w:t>
      </w:r>
    </w:p>
    <w:p>
      <w:pPr>
        <w:pStyle w:val="TextBody"/>
        <w:bidi w:val="0"/>
        <w:spacing w:lineRule="auto" w:line="288" w:before="0" w:after="180"/>
        <w:ind w:left="0" w:right="0" w:firstLine="720"/>
        <w:jc w:val="left"/>
        <w:rPr/>
      </w:pPr>
      <w:r>
        <w:rPr>
          <w:rFonts w:ascii="Times New Roman;serif" w:hAnsi="Times New Roman;serif"/>
          <w:b w:val="false"/>
          <w:color w:val="000000"/>
          <w:sz w:val="20"/>
        </w:rPr>
        <w:t>In addition, on July 1, 2026, the Compensation Committee approved grants of time-based restricted stock units under the Company’s 2025 Equity Incentive Plan (the “</w:t>
      </w:r>
      <w:r>
        <w:rPr>
          <w:rFonts w:ascii="Times New Roman;serif" w:hAnsi="Times New Roman;serif"/>
          <w:b/>
          <w:color w:val="000000"/>
          <w:sz w:val="20"/>
        </w:rPr>
        <w:t>2025 Plan</w:t>
      </w:r>
      <w:r>
        <w:rPr>
          <w:color w:val="000000"/>
        </w:rPr>
        <w:t>”</w:t>
      </w:r>
      <w:r>
        <w:rPr>
          <w:rFonts w:ascii="Times New Roman;serif" w:hAnsi="Times New Roman;serif"/>
          <w:b w:val="false"/>
          <w:color w:val="000000"/>
          <w:sz w:val="20"/>
        </w:rPr>
        <w:t>) to Messrs. Burnette, Datta and Wiesinger with intended values at grant of $7,000,000, $2,500,000 and $2,500,000, respectively (together, the “</w:t>
      </w:r>
      <w:r>
        <w:rPr>
          <w:rFonts w:ascii="Times New Roman;serif" w:hAnsi="Times New Roman;serif"/>
          <w:b/>
          <w:color w:val="000000"/>
          <w:sz w:val="20"/>
        </w:rPr>
        <w:t>Executive RSUs</w:t>
      </w:r>
      <w:r>
        <w:rPr>
          <w:color w:val="000000"/>
        </w:rPr>
        <w:t>”</w:t>
      </w:r>
      <w:r>
        <w:rPr>
          <w:rFonts w:ascii="Times New Roman;serif" w:hAnsi="Times New Roman;serif"/>
          <w:b w:val="false"/>
          <w:color w:val="000000"/>
          <w:sz w:val="20"/>
        </w:rPr>
        <w:t xml:space="preserve">). The Executive RSUs will vest quarterly over a four-year period, in each case, subject to a six-month vesting cliff and the applicable executive's continued service with the Company through the applicable vesting date.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Cancellation of Datta Option and Award of Restricted Stock Units</w:t>
      </w:r>
    </w:p>
    <w:p>
      <w:pPr>
        <w:pStyle w:val="TextBody"/>
        <w:bidi w:val="0"/>
        <w:spacing w:lineRule="auto" w:line="288" w:before="0" w:after="180"/>
        <w:ind w:left="0" w:right="0" w:firstLine="720"/>
        <w:jc w:val="left"/>
        <w:rPr/>
      </w:pPr>
      <w:r>
        <w:rPr>
          <w:rFonts w:ascii="Times New Roman;serif" w:hAnsi="Times New Roman;serif"/>
          <w:b w:val="false"/>
          <w:color w:val="000000"/>
          <w:sz w:val="20"/>
        </w:rPr>
        <w:t>On July 1, 2026, the Company and Mr. Datta mutually agreed to cancel the time-based option to purchase 2,035,915 shares of the Company’s common stock at a price per share of $8.88 that was previously granted to Mr. Datta on August 27, 2025, in connection with his commencement of employment (the “</w:t>
      </w:r>
      <w:r>
        <w:rPr>
          <w:rFonts w:ascii="Times New Roman;serif" w:hAnsi="Times New Roman;serif"/>
          <w:b/>
          <w:color w:val="000000"/>
          <w:sz w:val="20"/>
        </w:rPr>
        <w:t>Datta Option</w:t>
      </w:r>
      <w:r>
        <w:rPr>
          <w:color w:val="000000"/>
        </w:rPr>
        <w:t>”</w:t>
      </w:r>
      <w:r>
        <w:rPr>
          <w:rFonts w:ascii="Times New Roman;serif" w:hAnsi="Times New Roman;serif"/>
          <w:b w:val="false"/>
          <w:color w:val="000000"/>
          <w:sz w:val="20"/>
        </w:rPr>
        <w:t>). In consideration of the cancellation of the Datta Option, the Compensation Committee approved a grant of 563,063 time-based restricted stock units under the 2025 Plan to Mr. Datta (the “</w:t>
      </w:r>
      <w:r>
        <w:rPr>
          <w:rFonts w:ascii="Times New Roman;serif" w:hAnsi="Times New Roman;serif"/>
          <w:b/>
          <w:color w:val="000000"/>
          <w:sz w:val="20"/>
        </w:rPr>
        <w:t>Datta RSUs</w:t>
      </w:r>
      <w:r>
        <w:rPr>
          <w:color w:val="000000"/>
        </w:rPr>
        <w:t>”</w:t>
      </w:r>
      <w:r>
        <w:rPr>
          <w:rFonts w:ascii="Times New Roman;serif" w:hAnsi="Times New Roman;serif"/>
          <w:b w:val="false"/>
          <w:color w:val="000000"/>
          <w:sz w:val="20"/>
        </w:rPr>
        <w:t>). The Datta RSUs will vest quarterly over a four-year period from the vesting commencement date of the Datta Option, subject to a one-year vesting cliff and Mr. Datta’s continued service with the Company through the applicable vesting date.</w:t>
      </w:r>
    </w:p>
    <w:p>
      <w:pPr>
        <w:pStyle w:val="TextBody"/>
        <w:bidi w:val="0"/>
        <w:spacing w:lineRule="auto" w:line="288" w:before="0" w:after="18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foregoing descriptions of the Executive RSUs and the Datta RSUs are not complete and are qualified in their entirety by reference to the 2025 Plan and the form of restricted stock unit agreement thereunder, which are filed as Exhibit 10.2 to the Company's Annual Report on Form 10-K for the year ended December 31, 2025 and are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80"/>
        <w:ind w:left="0" w:right="0" w:hanging="270"/>
        <w:jc w:val="left"/>
        <w:rPr>
          <w:rFonts w:ascii="Times New Roman;serif" w:hAnsi="Times New Roman;serif"/>
          <w:b/>
          <w:i/>
          <w:color w:val="000000"/>
          <w:sz w:val="20"/>
        </w:rPr>
      </w:pPr>
      <w:r>
        <w:rPr>
          <w:rFonts w:ascii="Times New Roman;serif" w:hAnsi="Times New Roman;serif"/>
          <w:b/>
          <w:i/>
          <w:color w:val="000000"/>
          <w:sz w:val="20"/>
        </w:rPr>
        <w:t>(d)Exhibits.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339"/>
        <w:gridCol w:w="297"/>
        <w:gridCol w:w="300"/>
        <w:gridCol w:w="109"/>
        <w:gridCol w:w="109"/>
        <w:gridCol w:w="109"/>
        <w:gridCol w:w="2609"/>
        <w:gridCol w:w="2609"/>
        <w:gridCol w:w="3724"/>
      </w:tblGrid>
      <w:tr>
        <w:trPr/>
        <w:tc>
          <w:tcPr>
            <w:tcW w:w="33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2609" w:type="dxa"/>
            <w:tcBorders/>
            <w:vAlign w:val="center"/>
          </w:tcPr>
          <w:p>
            <w:pPr>
              <w:pStyle w:val="TableContents"/>
              <w:bidi w:val="0"/>
              <w:spacing w:before="0" w:after="283"/>
              <w:jc w:val="left"/>
              <w:rPr>
                <w:sz w:val="4"/>
                <w:szCs w:val="4"/>
              </w:rPr>
            </w:pPr>
            <w:r>
              <w:rPr>
                <w:sz w:val="4"/>
                <w:szCs w:val="4"/>
              </w:rPr>
            </w:r>
          </w:p>
        </w:tc>
        <w:tc>
          <w:tcPr>
            <w:tcW w:w="3724" w:type="dxa"/>
            <w:tcBorders/>
            <w:vAlign w:val="center"/>
          </w:tcPr>
          <w:p>
            <w:pPr>
              <w:pStyle w:val="TableContents"/>
              <w:bidi w:val="0"/>
              <w:spacing w:before="0" w:after="283"/>
              <w:jc w:val="left"/>
              <w:rPr>
                <w:sz w:val="4"/>
                <w:szCs w:val="4"/>
              </w:rPr>
            </w:pPr>
            <w:r>
              <w:rPr>
                <w:sz w:val="4"/>
                <w:szCs w:val="4"/>
              </w:rPr>
            </w:r>
          </w:p>
        </w:tc>
      </w:tr>
      <w:tr>
        <w:trPr/>
        <w:tc>
          <w:tcPr>
            <w:tcW w:w="9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9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89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751" w:type="dxa"/>
        <w:jc w:val="left"/>
        <w:tblInd w:w="0" w:type="dxa"/>
        <w:tblLayout w:type="fixed"/>
        <w:tblCellMar>
          <w:top w:w="28" w:type="dxa"/>
          <w:left w:w="28" w:type="dxa"/>
          <w:bottom w:w="28" w:type="dxa"/>
          <w:right w:w="28" w:type="dxa"/>
        </w:tblCellMar>
      </w:tblPr>
      <w:tblGrid>
        <w:gridCol w:w="199"/>
        <w:gridCol w:w="175"/>
        <w:gridCol w:w="175"/>
        <w:gridCol w:w="175"/>
        <w:gridCol w:w="175"/>
        <w:gridCol w:w="175"/>
        <w:gridCol w:w="175"/>
        <w:gridCol w:w="175"/>
        <w:gridCol w:w="175"/>
        <w:gridCol w:w="272"/>
        <w:gridCol w:w="272"/>
        <w:gridCol w:w="272"/>
        <w:gridCol w:w="653"/>
        <w:gridCol w:w="653"/>
        <w:gridCol w:w="658"/>
        <w:gridCol w:w="109"/>
        <w:gridCol w:w="109"/>
        <w:gridCol w:w="154"/>
      </w:tblGrid>
      <w:tr>
        <w:trPr/>
        <w:tc>
          <w:tcPr>
            <w:tcW w:w="199"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KODIAK AI, INC.</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64"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Surajit Datta</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1964"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Surajit Datta</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549"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July 2, 2026</w:t>
            </w:r>
          </w:p>
        </w:tc>
        <w:tc>
          <w:tcPr>
            <w:tcW w:w="816"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1162</Words>
  <Characters>6387</Characters>
  <CharactersWithSpaces>7481</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