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This is a confidential draft submission to the United States Securities and Exchange Commission on May 14, 2021 under the</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Securities Act of 1933, as amended.</w:t>
      </w:r>
    </w:p>
    <w:p>
      <w:pPr>
        <w:ind w:left="10260"/>
        <w:spacing w:after="0"/>
        <w:rPr>
          <w:sz w:val="20"/>
          <w:szCs w:val="20"/>
          <w:color w:val="auto"/>
        </w:rPr>
      </w:pPr>
      <w:r>
        <w:rPr>
          <w:rFonts w:ascii="Times New Roman" w:cs="Times New Roman" w:eastAsia="Times New Roman" w:hAnsi="Times New Roman"/>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99"/>
        <w:spacing w:after="0" w:line="182"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jc w:val="center"/>
        <w:ind w:right="-99"/>
        <w:spacing w:after="0" w:line="182" w:lineRule="auto"/>
        <w:rPr>
          <w:sz w:val="20"/>
          <w:szCs w:val="20"/>
          <w:color w:val="auto"/>
        </w:rPr>
      </w:pPr>
      <w:r>
        <w:rPr>
          <w:rFonts w:ascii="Times New Roman" w:cs="Times New Roman" w:eastAsia="Times New Roman" w:hAnsi="Times New Roman"/>
          <w:sz w:val="28"/>
          <w:szCs w:val="28"/>
          <w:b w:val="1"/>
          <w:bCs w:val="1"/>
          <w:color w:val="auto"/>
        </w:rPr>
        <w:t>REGISTRATION STATEMENT</w:t>
      </w:r>
    </w:p>
    <w:p>
      <w:pPr>
        <w:jc w:val="center"/>
        <w:ind w:right="-99"/>
        <w:spacing w:after="0" w:line="188" w:lineRule="auto"/>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Ares Acquisition Corporation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-200660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4"/>
                <w:szCs w:val="14"/>
                <w:b w:val="1"/>
                <w:bCs w:val="1"/>
                <w:color w:val="auto"/>
              </w:rPr>
              <w:t>98-1592112</w:t>
            </w:r>
          </w:p>
        </w:tc>
      </w:tr>
      <w:tr>
        <w:trPr>
          <w:trHeight w:val="128"/>
        </w:trPr>
        <w:tc>
          <w:tcPr>
            <w:tcW w:w="2720" w:type="dxa"/>
            <w:vAlign w:val="bottom"/>
          </w:tcPr>
          <w:p>
            <w:pPr>
              <w:jc w:val="center"/>
              <w:ind w:right="994"/>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82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160" w:type="dxa"/>
            <w:vAlign w:val="bottom"/>
          </w:tcPr>
          <w:p>
            <w:pPr>
              <w:jc w:val="center"/>
              <w:ind w:left="1114"/>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245 Park Avenue, 44th Floor</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New York, NY 10167</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(310) 201-4100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70485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Peter Ogilvie</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245 Park Avenue, 44th Floor</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New York, NY 10167</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(310) 201-4100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70485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9" w:lineRule="exact"/>
        <w:rPr>
          <w:sz w:val="24"/>
          <w:szCs w:val="24"/>
          <w:color w:val="auto"/>
        </w:rPr>
      </w:pPr>
    </w:p>
    <w:tbl>
      <w:tblPr>
        <w:tblLayout w:type="fixed"/>
        <w:tblInd w:w="880" w:type="dxa"/>
        <w:tblCellMar>
          <w:top w:w="0" w:type="dxa"/>
          <w:left w:w="0" w:type="dxa"/>
          <w:bottom w:w="0" w:type="dxa"/>
          <w:right w:w="0" w:type="dxa"/>
        </w:tblCellMar>
      </w:tblPr>
      <w:tr>
        <w:trPr>
          <w:trHeight w:val="177"/>
        </w:trPr>
        <w:tc>
          <w:tcPr>
            <w:tcW w:w="3100" w:type="dxa"/>
            <w:vAlign w:val="bottom"/>
          </w:tcPr>
          <w:p>
            <w:pPr>
              <w:spacing w:after="0"/>
              <w:rPr>
                <w:sz w:val="15"/>
                <w:szCs w:val="15"/>
                <w:color w:val="auto"/>
              </w:rPr>
            </w:pPr>
          </w:p>
        </w:tc>
        <w:tc>
          <w:tcPr>
            <w:tcW w:w="35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Copies:</w:t>
            </w:r>
          </w:p>
        </w:tc>
        <w:tc>
          <w:tcPr>
            <w:tcW w:w="2720" w:type="dxa"/>
            <w:vAlign w:val="bottom"/>
          </w:tcPr>
          <w:p>
            <w:pPr>
              <w:spacing w:after="0"/>
              <w:rPr>
                <w:sz w:val="15"/>
                <w:szCs w:val="15"/>
                <w:color w:val="auto"/>
              </w:rPr>
            </w:pPr>
          </w:p>
        </w:tc>
      </w:tr>
      <w:tr>
        <w:trPr>
          <w:trHeight w:val="146"/>
        </w:trPr>
        <w:tc>
          <w:tcPr>
            <w:tcW w:w="3100" w:type="dxa"/>
            <w:vAlign w:val="bottom"/>
          </w:tcPr>
          <w:p>
            <w:pPr>
              <w:jc w:val="center"/>
              <w:ind w:right="828"/>
              <w:spacing w:after="0" w:line="146" w:lineRule="exact"/>
              <w:rPr>
                <w:sz w:val="20"/>
                <w:szCs w:val="20"/>
                <w:color w:val="auto"/>
              </w:rPr>
            </w:pPr>
            <w:r>
              <w:rPr>
                <w:rFonts w:ascii="Times New Roman" w:cs="Times New Roman" w:eastAsia="Times New Roman" w:hAnsi="Times New Roman"/>
                <w:sz w:val="14"/>
                <w:szCs w:val="14"/>
                <w:b w:val="1"/>
                <w:bCs w:val="1"/>
                <w:color w:val="auto"/>
              </w:rPr>
              <w:t>Monica J. Shilling, P.C.</w:t>
            </w:r>
          </w:p>
        </w:tc>
        <w:tc>
          <w:tcPr>
            <w:tcW w:w="3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Peter S. Seligson</w:t>
            </w:r>
          </w:p>
        </w:tc>
        <w:tc>
          <w:tcPr>
            <w:tcW w:w="2720" w:type="dxa"/>
            <w:vAlign w:val="bottom"/>
          </w:tcPr>
          <w:p>
            <w:pPr>
              <w:jc w:val="center"/>
              <w:ind w:left="86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Paul D. Tropp</w:t>
            </w:r>
          </w:p>
        </w:tc>
      </w:tr>
      <w:tr>
        <w:trPr>
          <w:trHeight w:val="135"/>
        </w:trPr>
        <w:tc>
          <w:tcPr>
            <w:tcW w:w="3100" w:type="dxa"/>
            <w:vAlign w:val="bottom"/>
          </w:tcPr>
          <w:p>
            <w:pPr>
              <w:jc w:val="center"/>
              <w:ind w:right="828"/>
              <w:spacing w:after="0" w:line="135" w:lineRule="exact"/>
              <w:rPr>
                <w:sz w:val="20"/>
                <w:szCs w:val="20"/>
                <w:color w:val="auto"/>
              </w:rPr>
            </w:pPr>
            <w:r>
              <w:rPr>
                <w:rFonts w:ascii="Times New Roman" w:cs="Times New Roman" w:eastAsia="Times New Roman" w:hAnsi="Times New Roman"/>
                <w:sz w:val="14"/>
                <w:szCs w:val="14"/>
                <w:b w:val="1"/>
                <w:bCs w:val="1"/>
                <w:color w:val="auto"/>
              </w:rPr>
              <w:t>Philippa Bond, P.C.</w:t>
            </w:r>
          </w:p>
        </w:tc>
        <w:tc>
          <w:tcPr>
            <w:tcW w:w="3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Kirkland &amp; Ellis LLP</w:t>
            </w:r>
          </w:p>
        </w:tc>
        <w:tc>
          <w:tcPr>
            <w:tcW w:w="2720" w:type="dxa"/>
            <w:vAlign w:val="bottom"/>
          </w:tcPr>
          <w:p>
            <w:pPr>
              <w:jc w:val="center"/>
              <w:ind w:left="868"/>
              <w:spacing w:after="0" w:line="135" w:lineRule="exact"/>
              <w:rPr>
                <w:sz w:val="20"/>
                <w:szCs w:val="20"/>
                <w:color w:val="auto"/>
              </w:rPr>
            </w:pPr>
            <w:r>
              <w:rPr>
                <w:rFonts w:ascii="Times New Roman" w:cs="Times New Roman" w:eastAsia="Times New Roman" w:hAnsi="Times New Roman"/>
                <w:sz w:val="14"/>
                <w:szCs w:val="14"/>
                <w:b w:val="1"/>
                <w:bCs w:val="1"/>
                <w:color w:val="auto"/>
              </w:rPr>
              <w:t>Ropes &amp; Gray LLP</w:t>
            </w:r>
          </w:p>
        </w:tc>
      </w:tr>
      <w:tr>
        <w:trPr>
          <w:trHeight w:val="135"/>
        </w:trPr>
        <w:tc>
          <w:tcPr>
            <w:tcW w:w="3100" w:type="dxa"/>
            <w:vAlign w:val="bottom"/>
          </w:tcPr>
          <w:p>
            <w:pPr>
              <w:jc w:val="center"/>
              <w:ind w:right="808"/>
              <w:spacing w:after="0" w:line="135" w:lineRule="exact"/>
              <w:rPr>
                <w:sz w:val="20"/>
                <w:szCs w:val="20"/>
                <w:color w:val="auto"/>
              </w:rPr>
            </w:pPr>
            <w:r>
              <w:rPr>
                <w:rFonts w:ascii="Times New Roman" w:cs="Times New Roman" w:eastAsia="Times New Roman" w:hAnsi="Times New Roman"/>
                <w:sz w:val="14"/>
                <w:szCs w:val="14"/>
                <w:b w:val="1"/>
                <w:bCs w:val="1"/>
                <w:color w:val="auto"/>
              </w:rPr>
              <w:t>Kirkland &amp; Ellis LLP</w:t>
            </w:r>
          </w:p>
        </w:tc>
        <w:tc>
          <w:tcPr>
            <w:tcW w:w="3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601 Lexington Avenue</w:t>
            </w:r>
          </w:p>
        </w:tc>
        <w:tc>
          <w:tcPr>
            <w:tcW w:w="2720" w:type="dxa"/>
            <w:vAlign w:val="bottom"/>
          </w:tcPr>
          <w:p>
            <w:pPr>
              <w:jc w:val="center"/>
              <w:ind w:left="868"/>
              <w:spacing w:after="0" w:line="135" w:lineRule="exact"/>
              <w:rPr>
                <w:sz w:val="20"/>
                <w:szCs w:val="20"/>
                <w:color w:val="auto"/>
              </w:rPr>
            </w:pPr>
            <w:r>
              <w:rPr>
                <w:rFonts w:ascii="Times New Roman" w:cs="Times New Roman" w:eastAsia="Times New Roman" w:hAnsi="Times New Roman"/>
                <w:sz w:val="14"/>
                <w:szCs w:val="14"/>
                <w:b w:val="1"/>
                <w:bCs w:val="1"/>
                <w:color w:val="auto"/>
              </w:rPr>
              <w:t>1211 Avenue of the Americas</w:t>
            </w:r>
          </w:p>
        </w:tc>
      </w:tr>
      <w:tr>
        <w:trPr>
          <w:trHeight w:val="135"/>
        </w:trPr>
        <w:tc>
          <w:tcPr>
            <w:tcW w:w="3100" w:type="dxa"/>
            <w:vAlign w:val="bottom"/>
          </w:tcPr>
          <w:p>
            <w:pPr>
              <w:jc w:val="center"/>
              <w:ind w:right="828"/>
              <w:spacing w:after="0" w:line="135" w:lineRule="exact"/>
              <w:rPr>
                <w:sz w:val="20"/>
                <w:szCs w:val="20"/>
                <w:color w:val="auto"/>
              </w:rPr>
            </w:pPr>
            <w:r>
              <w:rPr>
                <w:rFonts w:ascii="Times New Roman" w:cs="Times New Roman" w:eastAsia="Times New Roman" w:hAnsi="Times New Roman"/>
                <w:sz w:val="14"/>
                <w:szCs w:val="14"/>
                <w:b w:val="1"/>
                <w:bCs w:val="1"/>
                <w:color w:val="auto"/>
              </w:rPr>
              <w:t>2049 Century Park East, 37th Floor</w:t>
            </w:r>
          </w:p>
        </w:tc>
        <w:tc>
          <w:tcPr>
            <w:tcW w:w="3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New York, New York 10022</w:t>
            </w:r>
          </w:p>
        </w:tc>
        <w:tc>
          <w:tcPr>
            <w:tcW w:w="2720" w:type="dxa"/>
            <w:vAlign w:val="bottom"/>
          </w:tcPr>
          <w:p>
            <w:pPr>
              <w:jc w:val="center"/>
              <w:ind w:left="868"/>
              <w:spacing w:after="0" w:line="135" w:lineRule="exact"/>
              <w:rPr>
                <w:sz w:val="20"/>
                <w:szCs w:val="20"/>
                <w:color w:val="auto"/>
              </w:rPr>
            </w:pPr>
            <w:r>
              <w:rPr>
                <w:rFonts w:ascii="Times New Roman" w:cs="Times New Roman" w:eastAsia="Times New Roman" w:hAnsi="Times New Roman"/>
                <w:sz w:val="14"/>
                <w:szCs w:val="14"/>
                <w:b w:val="1"/>
                <w:bCs w:val="1"/>
                <w:color w:val="auto"/>
              </w:rPr>
              <w:t>New York, New York 10036</w:t>
            </w:r>
          </w:p>
        </w:tc>
      </w:tr>
      <w:tr>
        <w:trPr>
          <w:trHeight w:val="135"/>
        </w:trPr>
        <w:tc>
          <w:tcPr>
            <w:tcW w:w="3100" w:type="dxa"/>
            <w:vAlign w:val="bottom"/>
          </w:tcPr>
          <w:p>
            <w:pPr>
              <w:jc w:val="center"/>
              <w:ind w:right="808"/>
              <w:spacing w:after="0" w:line="135" w:lineRule="exact"/>
              <w:rPr>
                <w:sz w:val="20"/>
                <w:szCs w:val="20"/>
                <w:color w:val="auto"/>
              </w:rPr>
            </w:pPr>
            <w:r>
              <w:rPr>
                <w:rFonts w:ascii="Times New Roman" w:cs="Times New Roman" w:eastAsia="Times New Roman" w:hAnsi="Times New Roman"/>
                <w:sz w:val="14"/>
                <w:szCs w:val="14"/>
                <w:b w:val="1"/>
                <w:bCs w:val="1"/>
                <w:color w:val="auto"/>
              </w:rPr>
              <w:t>Los Angeles, CA 90067</w:t>
            </w:r>
          </w:p>
        </w:tc>
        <w:tc>
          <w:tcPr>
            <w:tcW w:w="3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Tel: (212) 446-4800</w:t>
            </w:r>
          </w:p>
        </w:tc>
        <w:tc>
          <w:tcPr>
            <w:tcW w:w="2720" w:type="dxa"/>
            <w:vAlign w:val="bottom"/>
          </w:tcPr>
          <w:p>
            <w:pPr>
              <w:jc w:val="center"/>
              <w:ind w:left="868"/>
              <w:spacing w:after="0" w:line="135" w:lineRule="exact"/>
              <w:rPr>
                <w:sz w:val="20"/>
                <w:szCs w:val="20"/>
                <w:color w:val="auto"/>
              </w:rPr>
            </w:pPr>
            <w:r>
              <w:rPr>
                <w:rFonts w:ascii="Times New Roman" w:cs="Times New Roman" w:eastAsia="Times New Roman" w:hAnsi="Times New Roman"/>
                <w:sz w:val="14"/>
                <w:szCs w:val="14"/>
                <w:b w:val="1"/>
                <w:bCs w:val="1"/>
                <w:color w:val="auto"/>
              </w:rPr>
              <w:t>Tel: (212) 596-9000</w:t>
            </w:r>
          </w:p>
        </w:tc>
      </w:tr>
      <w:tr>
        <w:trPr>
          <w:trHeight w:val="135"/>
        </w:trPr>
        <w:tc>
          <w:tcPr>
            <w:tcW w:w="3100" w:type="dxa"/>
            <w:vAlign w:val="bottom"/>
          </w:tcPr>
          <w:p>
            <w:pPr>
              <w:jc w:val="center"/>
              <w:ind w:right="808"/>
              <w:spacing w:after="0" w:line="135" w:lineRule="exact"/>
              <w:rPr>
                <w:sz w:val="20"/>
                <w:szCs w:val="20"/>
                <w:color w:val="auto"/>
              </w:rPr>
            </w:pPr>
            <w:r>
              <w:rPr>
                <w:rFonts w:ascii="Times New Roman" w:cs="Times New Roman" w:eastAsia="Times New Roman" w:hAnsi="Times New Roman"/>
                <w:sz w:val="14"/>
                <w:szCs w:val="14"/>
                <w:b w:val="1"/>
                <w:bCs w:val="1"/>
                <w:color w:val="auto"/>
              </w:rPr>
              <w:t>Tel: (310) 552-4200</w:t>
            </w:r>
          </w:p>
        </w:tc>
        <w:tc>
          <w:tcPr>
            <w:tcW w:w="3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Fax: (212) 446-4900</w:t>
            </w:r>
          </w:p>
        </w:tc>
        <w:tc>
          <w:tcPr>
            <w:tcW w:w="2720" w:type="dxa"/>
            <w:vAlign w:val="bottom"/>
          </w:tcPr>
          <w:p>
            <w:pPr>
              <w:jc w:val="center"/>
              <w:ind w:left="868"/>
              <w:spacing w:after="0" w:line="135" w:lineRule="exact"/>
              <w:rPr>
                <w:sz w:val="20"/>
                <w:szCs w:val="20"/>
                <w:color w:val="auto"/>
              </w:rPr>
            </w:pPr>
            <w:r>
              <w:rPr>
                <w:rFonts w:ascii="Times New Roman" w:cs="Times New Roman" w:eastAsia="Times New Roman" w:hAnsi="Times New Roman"/>
                <w:sz w:val="14"/>
                <w:szCs w:val="14"/>
                <w:b w:val="1"/>
                <w:bCs w:val="1"/>
                <w:color w:val="auto"/>
              </w:rPr>
              <w:t>Fax: (212) 596-9090</w:t>
            </w:r>
          </w:p>
        </w:tc>
      </w:tr>
      <w:tr>
        <w:trPr>
          <w:trHeight w:val="190"/>
        </w:trPr>
        <w:tc>
          <w:tcPr>
            <w:tcW w:w="310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Fax: (310) 552-5900</w:t>
            </w:r>
          </w:p>
        </w:tc>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67945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30" w:lineRule="exact"/>
        <w:rPr>
          <w:sz w:val="24"/>
          <w:szCs w:val="24"/>
          <w:color w:val="auto"/>
        </w:rPr>
      </w:pPr>
    </w:p>
    <w:p>
      <w:pPr>
        <w:ind w:left="120" w:right="360" w:firstLine="440"/>
        <w:spacing w:after="0" w:line="16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20" w:right="580" w:firstLine="44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580" w:firstLine="440"/>
        <w:spacing w:after="0" w:line="16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80" w:type="dxa"/>
            <w:vAlign w:val="bottom"/>
            <w:tcBorders>
              <w:right w:val="single" w:sz="8" w:color="auto"/>
            </w:tcBorders>
          </w:tcPr>
          <w:p>
            <w:pPr>
              <w:ind w:left="1860"/>
              <w:spacing w:after="0" w:line="142" w:lineRule="exact"/>
              <w:rPr>
                <w:sz w:val="20"/>
                <w:szCs w:val="20"/>
                <w:color w:val="auto"/>
              </w:rPr>
            </w:pPr>
            <w:r>
              <w:rPr>
                <w:rFonts w:ascii="Times New Roman" w:cs="Times New Roman" w:eastAsia="Times New Roman" w:hAnsi="Times New Roman"/>
                <w:sz w:val="13"/>
                <w:szCs w:val="13"/>
                <w:b w:val="1"/>
                <w:bCs w:val="1"/>
                <w:color w:val="auto"/>
              </w:rPr>
              <w:t>Title of Each Class of</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Being</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62"/>
        </w:trPr>
        <w:tc>
          <w:tcPr>
            <w:tcW w:w="4880" w:type="dxa"/>
            <w:vAlign w:val="bottom"/>
            <w:tcBorders>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3"/>
                <w:szCs w:val="13"/>
                <w:b w:val="1"/>
                <w:bCs w:val="1"/>
                <w:color w:val="auto"/>
              </w:rPr>
              <w:t>Security Being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per Security(1)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 Price(1)</w:t>
            </w:r>
          </w:p>
        </w:tc>
        <w:tc>
          <w:tcPr>
            <w:tcW w:w="15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c>
          <w:tcPr>
            <w:tcW w:w="0" w:type="dxa"/>
            <w:vAlign w:val="bottom"/>
          </w:tcPr>
          <w:p>
            <w:pPr>
              <w:spacing w:after="0"/>
              <w:rPr>
                <w:sz w:val="1"/>
                <w:szCs w:val="1"/>
                <w:color w:val="auto"/>
              </w:rPr>
            </w:pPr>
          </w:p>
        </w:tc>
      </w:tr>
      <w:tr>
        <w:trPr>
          <w:trHeight w:val="102"/>
        </w:trPr>
        <w:tc>
          <w:tcPr>
            <w:tcW w:w="4880" w:type="dxa"/>
            <w:vAlign w:val="bottom"/>
            <w:tcBorders>
              <w:right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Units, each consisting of one Class A ordinary share, $0.0001 par value, and</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100,625,000 units</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$1,006,250,000</w:t>
            </w:r>
          </w:p>
        </w:tc>
        <w:tc>
          <w:tcPr>
            <w:tcW w:w="152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color w:val="auto"/>
              </w:rPr>
              <w:t>$109,781.88</w:t>
            </w:r>
          </w:p>
        </w:tc>
        <w:tc>
          <w:tcPr>
            <w:tcW w:w="0" w:type="dxa"/>
            <w:vAlign w:val="bottom"/>
          </w:tcPr>
          <w:p>
            <w:pPr>
              <w:spacing w:after="0"/>
              <w:rPr>
                <w:sz w:val="1"/>
                <w:szCs w:val="1"/>
                <w:color w:val="auto"/>
              </w:rPr>
            </w:pPr>
          </w:p>
        </w:tc>
      </w:tr>
      <w:tr>
        <w:trPr>
          <w:trHeight w:val="162"/>
        </w:trPr>
        <w:tc>
          <w:tcPr>
            <w:tcW w:w="4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one-fifth of one redeemable warrant(2)</w:t>
            </w: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Class A ordinary shares included as part of the units(3)</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100,625,000 shares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Redeemable warrants included as part of the units(3)</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20,125,000 warrants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$1,006,250,000</w:t>
            </w: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$109,781.88</w:t>
            </w:r>
          </w:p>
        </w:tc>
        <w:tc>
          <w:tcPr>
            <w:tcW w:w="0" w:type="dxa"/>
            <w:vAlign w:val="bottom"/>
          </w:tcPr>
          <w:p>
            <w:pPr>
              <w:spacing w:after="0"/>
              <w:rPr>
                <w:sz w:val="1"/>
                <w:szCs w:val="1"/>
                <w:color w:val="auto"/>
              </w:rPr>
            </w:pPr>
          </w:p>
        </w:tc>
      </w:tr>
    </w:tbl>
    <w:p>
      <w:pPr>
        <w:ind w:left="540" w:hanging="424"/>
        <w:spacing w:after="0" w:line="23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457(a) under the Securities Act.</w:t>
      </w:r>
    </w:p>
    <w:p>
      <w:pPr>
        <w:ind w:left="540" w:right="100" w:hanging="424"/>
        <w:spacing w:after="0" w:line="20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13,125,000 units, consisting of 13,125,000 Class A ordinary shares and 2,625,000 redeemable warrants, which may be issued upon exercise of a 45-day option granted to the underwriters to cover over-allotments, if any.</w:t>
      </w:r>
    </w:p>
    <w:p>
      <w:pPr>
        <w:ind w:left="540" w:right="620" w:hanging="424"/>
        <w:spacing w:after="0" w:line="20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there are also being registered an indeterminable number of additional securities as may be offered or issued to prevent dilution resulting from share subdivisions, share dividends, or similar transactions.</w:t>
      </w: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pursuant to Rule 457(g).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-534670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right="80" w:firstLine="440"/>
        <w:spacing w:after="0" w:line="22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EB0029"/>
        </w:rPr>
        <w:t>Subject to Completion, Dated May 14, 2021</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EB0029"/>
        </w:rPr>
        <w:t>PRELIMINARY PROSPECTUS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$875,000,000</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87,500,000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0"/>
          <w:szCs w:val="20"/>
          <w:color w:val="auto"/>
        </w:rPr>
      </w:pPr>
    </w:p>
    <w:p>
      <w:pPr>
        <w:ind w:left="120" w:right="380"/>
        <w:spacing w:after="0" w:line="272" w:lineRule="auto"/>
        <w:rPr>
          <w:sz w:val="20"/>
          <w:szCs w:val="20"/>
          <w:color w:val="auto"/>
        </w:rPr>
      </w:pPr>
      <w:r>
        <w:rPr>
          <w:rFonts w:ascii="Times New Roman" w:cs="Times New Roman" w:eastAsia="Times New Roman" w:hAnsi="Times New Roman"/>
          <w:sz w:val="16"/>
          <w:szCs w:val="16"/>
          <w:color w:val="auto"/>
        </w:rPr>
        <w:t>Ares Acquisition Corporation II is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We may pursue an initial business combination target in any business or industry. However, we do not currently contemplate targeting a company in the fossil fuel energy industry, including the upstream, midstream and energy services sub-sectors.</w:t>
      </w:r>
    </w:p>
    <w:p>
      <w:pPr>
        <w:spacing w:after="0" w:line="78"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This is an initial public offering of our securities. Each unit has an offering price of $10.00 and consists of one Class A ordinary share and one-fifth of one redeemable warrant. Each whole warrant entitles the holder thereof to purchase one Class A ordinary share at a price of $11.50 per share, subject to adjustment, terms and limitations as described herein. The underwriters have a 45-day option from the date of this prospectus to purchase up to 13,125,000 additional units to cover over-allotments, if any.</w:t>
      </w:r>
    </w:p>
    <w:p>
      <w:pPr>
        <w:spacing w:after="0" w:line="6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6"/>
          <w:szCs w:val="16"/>
          <w:color w:val="auto"/>
        </w:rPr>
        <w:t>We will provide our public shareholders with the opportunity to have all or a portion of their Class A ordinary shares redeemed upon the completion of our initial business combination, subject to the limitations described herein. If we have not consummated an initial business combination within 24 months from the closing of this offering, we will redeem 100% of the public shares for cash, subject to applicable law and certain conditions as described herein.</w:t>
      </w:r>
    </w:p>
    <w:p>
      <w:pPr>
        <w:spacing w:after="0" w:line="6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6"/>
          <w:szCs w:val="16"/>
          <w:color w:val="auto"/>
        </w:rPr>
        <w:t>Our sponsor, Ares Acquisition Holdings II LP, has agreed to purchase 15,000,000 warrants (or 16,750,000 warrants if the underwriters’ over-allotment option is exercised in full), each exercisable to purchase one Class A ordinary share at $11.50 per share, at a price of $1.50 per warrant, in a private placement to occur concurrently with the closing of this offering. Our sponsor (together with its permitted transferees) currently owns 25,156,250 Class B ordinary shares, up to 3,281,250 of which are subject to forfeiture depending on the extent to which the underwriters’ over-allotment option is exercised. The Class B ordinary shares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Currently, there is no public market for our securities. We intend to apply to have our units listed on the New York Stock Exchange, or the NYSE, under the symbol</w:t>
      </w:r>
    </w:p>
    <w:p>
      <w:pPr>
        <w:spacing w:after="0" w:line="26" w:lineRule="exact"/>
        <w:rPr>
          <w:sz w:val="20"/>
          <w:szCs w:val="20"/>
          <w:color w:val="auto"/>
        </w:rPr>
      </w:pPr>
    </w:p>
    <w:p>
      <w:pPr>
        <w:ind w:left="120"/>
        <w:spacing w:after="0"/>
        <w:tabs>
          <w:tab w:leader="none" w:pos="820" w:val="left"/>
          <w:tab w:leader="none" w:pos="106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We expect that the Class A ordinary shares and warrants comprising the units will begin separate trading on the NYSE under the symbols “</w:t>
      </w:r>
      <w:r>
        <w:rPr>
          <w:sz w:val="20"/>
          <w:szCs w:val="20"/>
          <w:color w:val="auto"/>
        </w:rPr>
        <w:tab/>
      </w:r>
      <w:r>
        <w:rPr>
          <w:rFonts w:ascii="Times New Roman" w:cs="Times New Roman" w:eastAsia="Times New Roman" w:hAnsi="Times New Roman"/>
          <w:sz w:val="15"/>
          <w:szCs w:val="15"/>
          <w:color w:val="auto"/>
        </w:rPr>
        <w:t>” and</w:t>
      </w:r>
    </w:p>
    <w:p>
      <w:pPr>
        <w:spacing w:after="0" w:line="19" w:lineRule="exact"/>
        <w:rPr>
          <w:sz w:val="20"/>
          <w:szCs w:val="20"/>
          <w:color w:val="auto"/>
        </w:rPr>
      </w:pPr>
    </w:p>
    <w:p>
      <w:pPr>
        <w:ind w:left="120" w:right="400"/>
        <w:spacing w:after="0" w:line="288" w:lineRule="auto"/>
        <w:rPr>
          <w:sz w:val="20"/>
          <w:szCs w:val="20"/>
          <w:color w:val="auto"/>
        </w:rPr>
      </w:pPr>
      <w:r>
        <w:rPr>
          <w:rFonts w:ascii="Times New Roman" w:cs="Times New Roman" w:eastAsia="Times New Roman" w:hAnsi="Times New Roman"/>
          <w:sz w:val="16"/>
          <w:szCs w:val="16"/>
          <w:color w:val="auto"/>
        </w:rPr>
        <w:t>“ ,” respectively, on the 52nd day following the date of this prospectus unless the underwriters permit earlier separate trading and we have satisfied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20"/>
          <w:szCs w:val="20"/>
          <w:b w:val="1"/>
          <w:bCs w:val="1"/>
          <w:color w:val="auto"/>
        </w:rPr>
        <w:t>We are an “emerging growth company” under applicable federal securities laws and will be subject to reduced public company reporting requirements. Investing in our securities involves a high degree of risk.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36 for a discussion of information that should be considered in connection with an investment in our securities. Investors will not be entitled to protections normally afforded to investors in Rule 419 blank check offerings.</w:t>
      </w:r>
    </w:p>
    <w:p>
      <w:pPr>
        <w:spacing w:after="0" w:line="81"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23"/>
                <w:szCs w:val="23"/>
                <w:color w:val="auto"/>
                <w:vertAlign w:val="superscript"/>
              </w:rPr>
              <w:t>(1)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48,125,000</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826,875,000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75" w:lineRule="auto"/>
        <w:tabs>
          <w:tab w:leader="none" w:pos="5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$0.35 per unit, or $30,625,000 in the aggregate (or $35,218,750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for a description of compensation and other items of value payable to the underwriters.</w:t>
      </w:r>
    </w:p>
    <w:p>
      <w:pPr>
        <w:spacing w:after="0" w:line="75"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6"/>
          <w:szCs w:val="16"/>
          <w:color w:val="auto"/>
        </w:rPr>
        <w:t>Of the proceeds we receive from this offering and the sale of the private placement warrants described in this prospectus, $875,000,000, or $1,006,250,000 if the underwriters’ over-allotment option is exercised in full ($10.00 per unit in either case), will be deposited into a trust account with Continental Stock Transfer &amp; Trust Company acting as trustee.</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underwriters are offering the units for sale on a firm commitment basis. The underwriters expect to deliver the units to the purchasers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2021.</w:t>
            </w:r>
          </w:p>
        </w:tc>
      </w:tr>
    </w:tbl>
    <w:p>
      <w:pPr>
        <w:spacing w:after="0" w:line="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91" w:lineRule="exact"/>
        <w:rPr>
          <w:sz w:val="20"/>
          <w:szCs w:val="20"/>
          <w:color w:val="auto"/>
        </w:rPr>
      </w:pPr>
    </w:p>
    <w:p>
      <w:pPr>
        <w:ind w:left="408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The date of this prospectus is</w:t>
      </w:r>
      <w:r>
        <w:rPr>
          <w:sz w:val="20"/>
          <w:szCs w:val="20"/>
          <w:color w:val="auto"/>
        </w:rPr>
        <w:tab/>
      </w:r>
      <w:r>
        <w:rPr>
          <w:rFonts w:ascii="Times New Roman" w:cs="Times New Roman" w:eastAsia="Times New Roman" w:hAnsi="Times New Roman"/>
          <w:sz w:val="15"/>
          <w:szCs w:val="15"/>
          <w:b w:val="1"/>
          <w:bCs w:val="1"/>
          <w:color w:val="auto"/>
        </w:rPr>
        <w:t>, 2021</w:t>
      </w:r>
    </w:p>
    <w:p>
      <w:pPr>
        <w:sectPr>
          <w:pgSz w:w="11900" w:h="16838" w:orient="portrait"/>
          <w:cols w:equalWidth="0" w:num="1">
            <w:col w:w="11120"/>
          </w:cols>
          <w:pgMar w:left="320" w:top="455"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SUMMARY</w:t>
            </w:r>
          </w:p>
        </w:tc>
        <w:tc>
          <w:tcPr>
            <w:tcW w:w="8860" w:type="dxa"/>
            <w:vAlign w:val="bottom"/>
            <w:gridSpan w:val="17"/>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SUMMARY FINANCIAL DATA</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4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1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PROPOSED BUSINESS</w:t>
            </w:r>
          </w:p>
        </w:tc>
        <w:tc>
          <w:tcPr>
            <w:tcW w:w="7080" w:type="dxa"/>
            <w:vAlign w:val="bottom"/>
            <w:tcBorders>
              <w:top w:val="single" w:sz="8" w:color="0000EE"/>
            </w:tcBorders>
            <w:gridSpan w:val="8"/>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SHAREHOLDERS</w:t>
            </w:r>
          </w:p>
        </w:tc>
        <w:tc>
          <w:tcPr>
            <w:tcW w:w="740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5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3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1600" w:type="dxa"/>
            <w:vAlign w:val="bottom"/>
            <w:tcBorders>
              <w:top w:val="single" w:sz="8" w:color="0000EE"/>
            </w:tcBorders>
            <w:gridSpan w:val="12"/>
          </w:tcPr>
          <w:p>
            <w:pPr>
              <w:spacing w:after="0"/>
              <w:rPr>
                <w:sz w:val="17"/>
                <w:szCs w:val="17"/>
                <w:color w:val="auto"/>
              </w:rPr>
            </w:pPr>
          </w:p>
        </w:tc>
        <w:tc>
          <w:tcPr>
            <w:tcW w:w="728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30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tcPr>
          <w:p>
            <w:pPr>
              <w:spacing w:after="0"/>
              <w:rPr>
                <w:sz w:val="17"/>
                <w:szCs w:val="17"/>
                <w:color w:val="auto"/>
              </w:rPr>
            </w:pPr>
          </w:p>
        </w:tc>
        <w:tc>
          <w:tcPr>
            <w:tcW w:w="53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6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w:t>
      </w:r>
    </w:p>
    <w:p>
      <w:pPr>
        <w:spacing w:after="0" w:line="131" w:lineRule="exact"/>
        <w:rPr>
          <w:sz w:val="20"/>
          <w:szCs w:val="20"/>
          <w:color w:val="auto"/>
        </w:rPr>
      </w:pPr>
    </w:p>
    <w:p>
      <w:pPr>
        <w:ind w:left="1640" w:right="6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memorandum and article of association” refers to the amended and restated memorandum and articles of association that the company will adopt prior to the consummation of this offering;</w:t>
      </w:r>
    </w:p>
    <w:p>
      <w:pPr>
        <w:spacing w:after="0" w:line="67"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 as the same may be amended from time to time;</w:t>
      </w:r>
    </w:p>
    <w:p>
      <w:pPr>
        <w:spacing w:after="0" w:line="67" w:lineRule="exact"/>
        <w:rPr>
          <w:rFonts w:ascii="Times New Roman" w:cs="Times New Roman" w:eastAsia="Times New Roman" w:hAnsi="Times New Roman"/>
          <w:sz w:val="18"/>
          <w:szCs w:val="18"/>
          <w:color w:val="auto"/>
        </w:rPr>
      </w:pPr>
    </w:p>
    <w:p>
      <w:pPr>
        <w:ind w:left="1640" w:right="6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refers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refers to Ares Management Corporation, a Delaware corporation, together with its subsidiaries;</w:t>
      </w:r>
    </w:p>
    <w:p>
      <w:pPr>
        <w:spacing w:after="0" w:line="130" w:lineRule="exact"/>
        <w:rPr>
          <w:rFonts w:ascii="Times New Roman" w:cs="Times New Roman" w:eastAsia="Times New Roman" w:hAnsi="Times New Roman"/>
          <w:sz w:val="18"/>
          <w:szCs w:val="18"/>
          <w:color w:val="auto"/>
        </w:rPr>
      </w:pPr>
    </w:p>
    <w:p>
      <w:pPr>
        <w:ind w:left="164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funds” means funds, alternative asset companies, co-investment vehicles and other entities and accounts managed by Ares or its affiliates and certain portfolio companies in which Ares or such entities have invested;</w:t>
      </w:r>
    </w:p>
    <w:p>
      <w:pPr>
        <w:spacing w:after="0" w:line="67" w:lineRule="exact"/>
        <w:rPr>
          <w:rFonts w:ascii="Times New Roman" w:cs="Times New Roman" w:eastAsia="Times New Roman" w:hAnsi="Times New Roman"/>
          <w:sz w:val="18"/>
          <w:szCs w:val="18"/>
          <w:color w:val="auto"/>
        </w:rPr>
      </w:pPr>
    </w:p>
    <w:p>
      <w:pPr>
        <w:ind w:left="1640" w:right="80" w:hanging="289"/>
        <w:spacing w:after="0" w:line="258"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or “AUM” refers to the assets we manage. For our funds other than CLOs, our AUM represents the sum of the net asset value (“NAV”) of such funds, the drawn and undrawn debt (at the fund-level including amounts subject to restrictions) and uncalled committed capital (including commitments to funds that have yet to commence their investment periods). NAV refers to the fair value of the assets of a fund less the liabilities of the fund. For our funds that are CLOs, our AUM is equal to initial principal amounts adjusted for paydowns;</w:t>
      </w:r>
    </w:p>
    <w:p>
      <w:pPr>
        <w:spacing w:after="0" w:line="88"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 refers to “Ares funds” that are structured as collateralized loan obligations;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our Class B ordinary shares;</w:t>
      </w:r>
    </w:p>
    <w:p>
      <w:pPr>
        <w:spacing w:after="0" w:line="130" w:lineRule="exact"/>
        <w:rPr>
          <w:rFonts w:ascii="Times New Roman" w:cs="Times New Roman" w:eastAsia="Times New Roman" w:hAnsi="Times New Roman"/>
          <w:sz w:val="18"/>
          <w:szCs w:val="18"/>
          <w:color w:val="auto"/>
        </w:rPr>
      </w:pPr>
    </w:p>
    <w:p>
      <w:pPr>
        <w:ind w:left="1640" w:right="22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refers to the warrants to be issued to our sponsor in a private placement simultaneously with the closing of this offering and upon conversion of working capital loans, if any;</w:t>
      </w:r>
    </w:p>
    <w:p>
      <w:pPr>
        <w:spacing w:after="0" w:line="67" w:lineRule="exact"/>
        <w:rPr>
          <w:rFonts w:ascii="Times New Roman" w:cs="Times New Roman" w:eastAsia="Times New Roman" w:hAnsi="Times New Roman"/>
          <w:sz w:val="18"/>
          <w:szCs w:val="18"/>
          <w:color w:val="auto"/>
        </w:rPr>
      </w:pPr>
    </w:p>
    <w:p>
      <w:pPr>
        <w:ind w:left="1640" w:right="1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refers to our Class A ordinary shares sold as part of the units in this offering (whether they are purchased in this offering or thereafter in the open market);</w:t>
      </w:r>
    </w:p>
    <w:p>
      <w:pPr>
        <w:spacing w:after="0" w:line="67" w:lineRule="exact"/>
        <w:rPr>
          <w:rFonts w:ascii="Times New Roman" w:cs="Times New Roman" w:eastAsia="Times New Roman" w:hAnsi="Times New Roman"/>
          <w:sz w:val="18"/>
          <w:szCs w:val="18"/>
          <w:color w:val="auto"/>
        </w:rPr>
      </w:pPr>
    </w:p>
    <w:p>
      <w:pPr>
        <w:jc w:val="both"/>
        <w:ind w:left="164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refers to the holders of our public shares, including our sponsor and our directors and executive officers if and to the extent they purchase public shares, but their status as a “public shareholder” will only exist with respect to such public shares;</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refers to Ares Acquisition Holdings II LP, a Cayman Islands exempted limited partnership; and</w:t>
      </w:r>
    </w:p>
    <w:p>
      <w:pPr>
        <w:spacing w:after="0" w:line="130" w:lineRule="exact"/>
        <w:rPr>
          <w:rFonts w:ascii="Times New Roman" w:cs="Times New Roman" w:eastAsia="Times New Roman" w:hAnsi="Times New Roman"/>
          <w:sz w:val="18"/>
          <w:szCs w:val="18"/>
          <w:color w:val="auto"/>
        </w:rPr>
      </w:pPr>
    </w:p>
    <w:p>
      <w:pPr>
        <w:ind w:left="1640" w:right="6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“AAC II,” “our,” “company” or “our company” refers to Ares Acquisition Corporation II, a Cayman Islands exempted company.</w:t>
      </w:r>
    </w:p>
    <w:p>
      <w:pPr>
        <w:spacing w:after="0" w:line="16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Any forfeiture of shares described in this prospectus will take effect as a surrender of shares for no consideration of such shares as a matter of Cayman Islands law. Any conversion of the Class B ordinary shares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tell you otherwise, the information in this prospectus assumes that the underwriters will not exercise their over-allotment option.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do not currently contemplate targeting a company in the fossil fuel energy industry, including the upstream, midstream and energy services sub-sectors, and we intend to focus our search in North America, Europe or Asia. We will pursue an initial business combination with an established business with scale, attractive growth prospects and sustainable competitive advantages. We believe there is a large universe of such businesses that could benefit from a public listing, and that we will be able to offer a differentiated and compelling value proposition to them.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$197 billion of assets under management and approximately 1,450 employees in over 25 global offices as of December 31, 2020. Ares operates integrated groups across Credit, Private Equity, Real Estate and Strategic Initiatives and offers its investors a range of investment strategies and seeks to deliver attractive performance to a growing investor base that includes over 1,090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89"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firstLine="426"/>
        <w:spacing w:after="0" w:line="274" w:lineRule="auto"/>
        <w:rPr>
          <w:sz w:val="20"/>
          <w:szCs w:val="20"/>
          <w:color w:val="auto"/>
        </w:rPr>
      </w:pPr>
      <w:r>
        <w:rPr>
          <w:rFonts w:ascii="Times New Roman" w:cs="Times New Roman" w:eastAsia="Times New Roman" w:hAnsi="Times New Roman"/>
          <w:sz w:val="17"/>
          <w:szCs w:val="17"/>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Ares Acquisition Corporation (“AAC”), that completed its initial public offering on February 4, 2021. AAC has not yet announced an initial business combination.</w:t>
      </w:r>
    </w:p>
    <w:p>
      <w:pPr>
        <w:spacing w:after="0" w:line="17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December 31, 2020 had $27.4 billion of AUM. The Private Equity Group broadly categorizes its investment activities into four strategies: Corporate Private Equity, Infrastructure and Power, Special Opportunities and Energy Opportunities. Ares Private Equity Group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Ares Corporate Private Equity strategy team is organized into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110 investment professionals on a global basis. In Ares Corporate Private Equity strategy, Ares pursues four principal transaction types: prudently leveraged control buyouts, growth equity, rescue/deleveraging capital and distressed buyouts/discounted debt accumulation.</w:t>
      </w:r>
    </w:p>
    <w:p>
      <w:pPr>
        <w:spacing w:after="0" w:line="18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$145.5 billion of AUM and over 200 funds as of December 31, 2020.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 across the U.S. and European markets. Additionally, it provides investors access to directly originated fixed and floating rate credit assets and with the ability to capitalize on illiquidity premiums across the credit spectrum.</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Within the Ares Credit Group, Ares’ Direct Lending strategy is one of the largest self-originating direct lenders to the U.S. and European markets, with $98.8 billion of AUM as of December 31, 2020.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210 investment professionals as of December 31, 2020. The team covers more than 800 financial sponsors and provides a wide range of financing solutions to middle-market companies that typically range from $10 to $250 million in earnings before interest, tax, depreciation and amortization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88"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300" w:right="560" w:firstLine="426"/>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7"/>
          <w:szCs w:val="17"/>
          <w:color w:val="auto"/>
        </w:rPr>
        <w:t>David B. Kaplan serves as Chief Executive Officer and is Co-Chairman of the board of directors of AAC II. Mr. Kaplan is a Co-Founder of Ares, a Director and Partner of Ares Management Corporation, Co-Chairman of the Ares Private Equity Group and Chief Executive Officer and Co-Chairman of AAC (NYSE: AAC). He is a member of the Ares Executive Management Committee. He additionally serves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w:t>
      </w:r>
    </w:p>
    <w:p>
      <w:pPr>
        <w:spacing w:after="0" w:line="4"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 Mr. Kaplan graduated with High Distinction, Beta Gamma Sigma, from the University of Michigan, School of Business Administration with a B.B.A. concentrating in Finance.</w:t>
      </w:r>
    </w:p>
    <w:p>
      <w:pPr>
        <w:spacing w:after="0" w:line="18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and Co-Chairman of AAC. He is a member of the Ares Executive Management Committee. He additionally serves as Co-Chairman of Ares Capital Corporation (“ARCC”) and as a director of Ares Commercial Real Estate Corporation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 communities through education and empowerment. He is additionally a member of the PATH Organization Leadership Council. Mr. Arougheti received a B.A. in Ethics, Politics and Economics, cum laude, from Yale University.</w:t>
      </w:r>
    </w:p>
    <w:p>
      <w:pPr>
        <w:spacing w:after="0" w:line="197" w:lineRule="exact"/>
        <w:rPr>
          <w:sz w:val="20"/>
          <w:szCs w:val="20"/>
          <w:color w:val="auto"/>
        </w:rPr>
      </w:pPr>
    </w:p>
    <w:p>
      <w:pPr>
        <w:jc w:val="both"/>
        <w:ind w:left="300" w:right="40" w:firstLine="426"/>
        <w:spacing w:after="0" w:line="289" w:lineRule="auto"/>
        <w:rPr>
          <w:sz w:val="20"/>
          <w:szCs w:val="20"/>
          <w:color w:val="auto"/>
        </w:rPr>
      </w:pPr>
      <w:r>
        <w:rPr>
          <w:rFonts w:ascii="Times New Roman" w:cs="Times New Roman" w:eastAsia="Times New Roman" w:hAnsi="Times New Roman"/>
          <w:sz w:val="17"/>
          <w:szCs w:val="17"/>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“Risk Factors—Past performance by Ares or its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affiliates, 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between such officers and the company may or does exist, please refer to “Management—Conflicts of Interest.”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AAC completed its initial public offering in February 2021, in which it sold 87,000,000 units each consisting of one Class A ordinary share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one-fifth of one warrant, with each whole warrant entitling the holder thereof to purchase one Class A ordinary share for an offering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per unit. AAC consummated the sale of an additional 13,000,000 Class A ordinary shares units pursuant to the underwriters’ partial exercise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their over-allotment option at a price of $10.00 per unit, generating total gross proceeds of approximately $1 billion. AAC has not yet announced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initial business combination. Mr. Kaplan serves as Chief Executive Officer, Mr. Phillips serves as Chief Financial Officer, Ms. Satin serves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Operating Officer and Mr. Ogilvie serves as Executive Vice President of Strategy of AAC. Mr. Kaplan and Mr. Arougheti serve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Co-Chairmen of AAC’s board of directors. We believe that we will benefit from the valuable experience gained by our management team during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launch and operation of AAC, including the process of evaluating numerous target companies and industry sectors.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We believe the current environment offers a compelling market opportunity to raise a Special Purpose Acquisition Vehicle (“SPAC”) of meaningful scale. During 2020 there were 248 SPAC initial public offerings (“IPOs”) for total proceeds of approximately $83 billion, which was nearly six times that of prior years. In 2021, there have been 315 SPAC IPOs. Current trends in financial markets, including reduced volatility and strong market sentiment, mean that SPACs remain a compelling strategic alternative for companies seeking a public listing. While becoming a publicly listed company provides significant benefits, companies have been electing to remain private longer for various reasons, including the complexities of the traditional IPO process as well as its inherent uncertainty for the companies pursuing it. This dynamic has helped mold the current market opportunity for SPACs by generating a meaningful backlog of potential IPO candidates. Over the last five years, more than 100 companies filed an S-1 and ultimately did not pursue public listings. Today, SPACs have become a widespread strategic alternative for businesses desiring to access the public markets with a higher degree of certainty and speed, with 117 so-called de-SPAC transactions completed in comparison to 114 traditional IPOs in 2021, and an average of 46 de-SPAC business combinations per year from 2018 through 2020.</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Although we may pursue an acquisition opportunity in any business industry or sector, we do not currently contemplate targeting a company in the fossil fuel energy industry, including the upstream, midstream and energy services sub-sectors.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90" w:lineRule="exact"/>
        <w:rPr>
          <w:sz w:val="20"/>
          <w:szCs w:val="20"/>
          <w:color w:val="auto"/>
        </w:rPr>
      </w:pPr>
    </w:p>
    <w:p>
      <w:pPr>
        <w:ind w:left="1240" w:right="100" w:hanging="415"/>
        <w:spacing w:after="0" w:line="25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$197 billion in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525 investment professionals across more than 25 offices as of December 31, 2020. This has the potential to create meaningful advantages to source attractive transactions across various investment strategies. Ares promotes collaboration amongst its investment professionals to share ideas and information across the groups, which further enables it to effectively source, evaluate and manage investments. Ares believes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20"/>
        <w:spacing w:after="0" w:line="261" w:lineRule="auto"/>
        <w:rPr>
          <w:sz w:val="20"/>
          <w:szCs w:val="20"/>
          <w:color w:val="auto"/>
        </w:rPr>
      </w:pPr>
      <w:r>
        <w:rPr>
          <w:rFonts w:ascii="Times New Roman" w:cs="Times New Roman" w:eastAsia="Times New Roman" w:hAnsi="Times New Roman"/>
          <w:sz w:val="18"/>
          <w:szCs w:val="18"/>
          <w:color w:val="auto"/>
        </w:rPr>
        <w:t>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81" w:lineRule="exact"/>
        <w:rPr>
          <w:sz w:val="20"/>
          <w:szCs w:val="20"/>
          <w:color w:val="auto"/>
        </w:rPr>
      </w:pPr>
    </w:p>
    <w:p>
      <w:pPr>
        <w:ind w:left="1240" w:right="40" w:hanging="415"/>
        <w:spacing w:after="0" w:line="255"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cross-source for other investment groups generates a robust pipeline of high-quality investment opportunities across its platform. Ares has active investments in ~2,800 portfolio companies and over 1,090 institutional investors. Additionally, Ares’ relationship network includes over 800 global private equity sponsor relationships for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 differentiates its origination capabilities. AAC II is expected to benefit from Ares’ broad market presence, which has the potential to drive deal flow and allow for asset selectivity.</w:t>
      </w:r>
    </w:p>
    <w:p>
      <w:pPr>
        <w:spacing w:after="0" w:line="90"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approximately 55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w:t>
      </w:r>
    </w:p>
    <w:p>
      <w:pPr>
        <w:spacing w:after="0" w:line="88" w:lineRule="exact"/>
        <w:rPr>
          <w:rFonts w:ascii="Times New Roman" w:cs="Times New Roman" w:eastAsia="Times New Roman" w:hAnsi="Times New Roman"/>
          <w:sz w:val="18"/>
          <w:szCs w:val="18"/>
          <w:color w:val="auto"/>
        </w:rPr>
      </w:pPr>
    </w:p>
    <w:p>
      <w:pPr>
        <w:ind w:left="1240" w:right="40" w:hanging="415"/>
        <w:spacing w:after="0" w:line="25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New York Stock Exchange (“NYSE”) and certain of its subsidiaries act as the external manager for three publicly-traded investment vehicles. Furthermore, Ares’ publicly traded entities and their affiliates, including ARCC, ACRE and Ares Dynamic Credit Allocation Fund, Inc. (“ARDC”), account for approximately $21.9 billion of AUM as of December 31, 2020 and have a long track record as fiduciaries of capital for over 610 institutional investors and over 200,000 retail investor accounts. We believe Ares’ prior experience, combined with its robust public investor relations capabilities, will benefit AAC II following a business combination.</w:t>
      </w:r>
    </w:p>
    <w:p>
      <w:pPr>
        <w:spacing w:after="0" w:line="93"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is positioned to prepare and support a target’s successful operation in the public markets. Additionally, Ares has a dedicated team focused on environmental, social and governance (“ESG”) factors that can further enhance AAC II’s impact for various stakeholders.</w:t>
      </w:r>
    </w:p>
    <w:p>
      <w:pPr>
        <w:spacing w:after="0" w:line="90" w:lineRule="exact"/>
        <w:rPr>
          <w:rFonts w:ascii="Times New Roman" w:cs="Times New Roman" w:eastAsia="Times New Roman" w:hAnsi="Times New Roman"/>
          <w:sz w:val="18"/>
          <w:szCs w:val="18"/>
          <w:color w:val="auto"/>
        </w:rPr>
      </w:pPr>
    </w:p>
    <w:p>
      <w:pPr>
        <w:ind w:left="1240" w:right="160" w:hanging="415"/>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over 1,090 institutional investor relationships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280 funds as of December 31, 2020. Ares’ high-quality institutional investor base includes large pension funds, sovereign wealth funds, banks and insurance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82" w:lineRule="auto"/>
        <w:rPr>
          <w:sz w:val="20"/>
          <w:szCs w:val="20"/>
          <w:color w:val="auto"/>
        </w:rPr>
      </w:pPr>
      <w:r>
        <w:rPr>
          <w:rFonts w:ascii="Times New Roman" w:cs="Times New Roman" w:eastAsia="Times New Roman" w:hAnsi="Times New Roman"/>
          <w:sz w:val="18"/>
          <w:szCs w:val="18"/>
          <w:color w:val="auto"/>
        </w:rPr>
        <w:t>companies. Additionally, Ares has very strong relationships with many leading commercial and investment banks globally and a track record of successfully accessing the capital markets.</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and the Ares funds is not a guarantee either (i) that we will be able to identify a suitable candidate for our initial business combination or (ii) of success with respect to any business combination we may consummate. You should not rely on the historical record of Ares’s, the Ares funds’ or our management’s performance as indicative of our future performance. An investment in us is not an investment in the Ares funds.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 However, we do not currently contemplate targeting a company in the fossil fuel energy industry, including the upstream, midstream and energy services sub-sectors.</w:t>
      </w:r>
    </w:p>
    <w:p>
      <w:pPr>
        <w:spacing w:after="0" w:line="16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will benefit from the same approach as we pursue our initial business combination.</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80"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either an independent investment banking firm or an independent accounting firm.</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 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The NYSE rules require that our initial business combination must occur with one or more target businesses that together have an aggregate fair market value of at least 80% of the net assets held in the trust account (excluding the amount of deferred underwriting discounts held in the trust account and taxes payable on the income earned on the trust account) at the time of signing the agreement to enter into the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investment banking firm or an independent accounting firm.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88" w:lineRule="exact"/>
        <w:rPr>
          <w:sz w:val="20"/>
          <w:szCs w:val="20"/>
          <w:color w:val="auto"/>
        </w:rPr>
      </w:pPr>
    </w:p>
    <w:p>
      <w:pPr>
        <w:jc w:val="both"/>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we could raise additional proceeds to complete the acquisition by borrowing from or issuing to such parties a class of equity or debt securities.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amount and other terms and conditions of any such joint acquisition or specified future issuance would be determined at the time thereof.</w:t>
      </w:r>
    </w:p>
    <w:p>
      <w:pPr>
        <w:spacing w:after="0" w:line="20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the relative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93"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 which we may desire to pursue. However, we have not selected any business combination target and we have not, nor has anyone on our behalf, initiated any substantive discussions, directly or indirectly, with any business combination target.</w:t>
      </w:r>
    </w:p>
    <w:p>
      <w:pPr>
        <w:spacing w:after="0" w:line="180"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2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Accordingly, none of Ares or our directors or officers will have obligations to present a business combination opportunity to us.</w:t>
      </w:r>
    </w:p>
    <w:p>
      <w:pPr>
        <w:spacing w:after="0" w:line="19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Any such companies, including AAC,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9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44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744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Our executive offices are located at 245 Park Avenue, 44th Floor, New York, New York 10167, and our telephone number is (212) 750-7300.</w:t>
      </w:r>
    </w:p>
    <w:p>
      <w:pPr>
        <w:spacing w:after="0" w:line="237"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19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deciding whether to invest in our securities, you should take into account not only the backgrounds of our directors and executive officers,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20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7"/>
          <w:szCs w:val="17"/>
          <w:color w:val="auto"/>
        </w:rPr>
        <w:t>87,500,000 units (or 100,625,000 units if the underwriters’ over-allotment option is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exercised in full), at $10.00 per unit, each unit consisting of:</w:t>
      </w:r>
    </w:p>
    <w:p>
      <w:pPr>
        <w:spacing w:after="0" w:line="1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one Class A ordinary share; and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one-fifth of one redeemable warrant.</w:t>
      </w:r>
    </w:p>
    <w:p>
      <w:pPr>
        <w:spacing w:after="0" w:line="252" w:lineRule="exact"/>
        <w:rPr>
          <w:sz w:val="20"/>
          <w:szCs w:val="20"/>
          <w:color w:val="auto"/>
        </w:rPr>
      </w:pPr>
    </w:p>
    <w:p>
      <w:pPr>
        <w:ind w:left="300"/>
        <w:spacing w:after="0"/>
        <w:tabs>
          <w:tab w:leader="none" w:pos="4320" w:val="left"/>
          <w:tab w:leader="none" w:pos="5600" w:val="left"/>
        </w:tabs>
        <w:rPr>
          <w:sz w:val="20"/>
          <w:szCs w:val="20"/>
          <w:color w:val="auto"/>
        </w:rPr>
      </w:pPr>
      <w:r>
        <w:rPr>
          <w:rFonts w:ascii="Times New Roman" w:cs="Times New Roman" w:eastAsia="Times New Roman" w:hAnsi="Times New Roman"/>
          <w:sz w:val="18"/>
          <w:szCs w:val="18"/>
          <w:color w:val="auto"/>
        </w:rPr>
        <w:t>Proposed NYSE symbols</w:t>
      </w:r>
      <w:r>
        <w:rPr>
          <w:sz w:val="20"/>
          <w:szCs w:val="20"/>
          <w:color w:val="auto"/>
        </w:rPr>
        <w:tab/>
      </w:r>
      <w:r>
        <w:rPr>
          <w:rFonts w:ascii="Times New Roman" w:cs="Times New Roman" w:eastAsia="Times New Roman" w:hAnsi="Times New Roman"/>
          <w:sz w:val="18"/>
          <w:szCs w:val="18"/>
          <w:color w:val="auto"/>
        </w:rPr>
        <w:t>Units: “</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340"/>
        <w:spacing w:after="0"/>
        <w:tabs>
          <w:tab w:leader="none" w:pos="6920" w:val="left"/>
        </w:tabs>
        <w:rPr>
          <w:sz w:val="20"/>
          <w:szCs w:val="20"/>
          <w:color w:val="auto"/>
        </w:rPr>
      </w:pPr>
      <w:r>
        <w:rPr>
          <w:rFonts w:ascii="Times New Roman" w:cs="Times New Roman" w:eastAsia="Times New Roman" w:hAnsi="Times New Roman"/>
          <w:sz w:val="18"/>
          <w:szCs w:val="18"/>
          <w:color w:val="auto"/>
        </w:rPr>
        <w:t>Class A ordinary shares: “</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340"/>
        <w:spacing w:after="0"/>
        <w:tabs>
          <w:tab w:leader="none" w:pos="5860" w:val="left"/>
        </w:tabs>
        <w:rPr>
          <w:sz w:val="20"/>
          <w:szCs w:val="20"/>
          <w:color w:val="auto"/>
        </w:rPr>
      </w:pPr>
      <w:r>
        <w:rPr>
          <w:rFonts w:ascii="Times New Roman" w:cs="Times New Roman" w:eastAsia="Times New Roman" w:hAnsi="Times New Roman"/>
          <w:sz w:val="18"/>
          <w:szCs w:val="18"/>
          <w:color w:val="auto"/>
        </w:rPr>
        <w:t>Warrants: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380" w:right="120" w:hanging="78"/>
        <w:spacing w:after="0" w:line="282" w:lineRule="auto"/>
        <w:rPr>
          <w:sz w:val="20"/>
          <w:szCs w:val="20"/>
          <w:color w:val="auto"/>
        </w:rPr>
      </w:pPr>
      <w:r>
        <w:rPr>
          <w:rFonts w:ascii="Times New Roman" w:cs="Times New Roman" w:eastAsia="Times New Roman" w:hAnsi="Times New Roman"/>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80" w:hanging="78"/>
        <w:spacing w:after="0" w:line="266" w:lineRule="auto"/>
        <w:rPr>
          <w:sz w:val="20"/>
          <w:szCs w:val="20"/>
          <w:color w:val="auto"/>
        </w:rPr>
      </w:pPr>
      <w:r>
        <w:rPr>
          <w:rFonts w:ascii="Times New Roman" w:cs="Times New Roman" w:eastAsia="Times New Roman" w:hAnsi="Times New Roman"/>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representatives inform us of their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that includes an audited balance sheet reflecting our receipt of the gross proceeds at the closing of this offering. We will file the</w:t>
      </w:r>
    </w:p>
    <w:p>
      <w:pPr>
        <w:spacing w:after="0" w:line="200" w:lineRule="exact"/>
        <w:rPr>
          <w:sz w:val="20"/>
          <w:szCs w:val="20"/>
          <w:color w:val="auto"/>
        </w:rPr>
      </w:pPr>
    </w:p>
    <w:p>
      <w:pPr>
        <w:sectPr>
          <w:pgSz w:w="11900" w:h="16838" w:orient="portrait"/>
          <w:cols w:equalWidth="0" w:num="2">
            <w:col w:w="4060" w:space="280"/>
            <w:col w:w="6600"/>
          </w:cols>
          <w:pgMar w:left="320" w:top="455" w:right="6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Current Report on Form 8-K promptly after the closing of this offering. If the underwriters’</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over-allotment option is exercised following the initial filing of such Current Report on</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8-K, a second or amended Current Report on Form 8-K will be filed to provide</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updated financial information to reflect the exercise of the underwriters’ over-allotment</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w:t>
            </w:r>
          </w:p>
        </w:tc>
      </w:tr>
      <w:tr>
        <w:trPr>
          <w:trHeight w:val="4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47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87,500,000</w:t>
            </w:r>
            <w:r>
              <w:rPr>
                <w:rFonts w:ascii="Times New Roman" w:cs="Times New Roman" w:eastAsia="Times New Roman" w:hAnsi="Times New Roman"/>
                <w:sz w:val="15"/>
                <w:szCs w:val="15"/>
                <w:color w:val="auto"/>
              </w:rPr>
              <w:t>(1)</w:t>
            </w:r>
          </w:p>
        </w:tc>
      </w:tr>
      <w:tr>
        <w:trPr>
          <w:trHeight w:val="44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25,156,250</w:t>
            </w:r>
            <w:r>
              <w:rPr>
                <w:rFonts w:ascii="Times New Roman" w:cs="Times New Roman" w:eastAsia="Times New Roman" w:hAnsi="Times New Roman"/>
                <w:sz w:val="15"/>
                <w:szCs w:val="15"/>
                <w:color w:val="auto"/>
              </w:rPr>
              <w:t>(2)(3)</w:t>
            </w:r>
          </w:p>
        </w:tc>
      </w:tr>
      <w:tr>
        <w:trPr>
          <w:trHeight w:val="47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109,375,000</w:t>
            </w:r>
            <w:r>
              <w:rPr>
                <w:rFonts w:ascii="Times New Roman" w:cs="Times New Roman" w:eastAsia="Times New Roman" w:hAnsi="Times New Roman"/>
                <w:sz w:val="15"/>
                <w:szCs w:val="15"/>
                <w:color w:val="auto"/>
              </w:rPr>
              <w:t>(1)(2)(4)</w:t>
            </w:r>
          </w:p>
        </w:tc>
      </w:tr>
      <w:tr>
        <w:trPr>
          <w:trHeight w:val="44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of private placement warrants to be sold in a</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15,000,000</w:t>
            </w:r>
            <w:r>
              <w:rPr>
                <w:rFonts w:ascii="Times New Roman" w:cs="Times New Roman" w:eastAsia="Times New Roman" w:hAnsi="Times New Roman"/>
                <w:sz w:val="15"/>
                <w:szCs w:val="15"/>
                <w:color w:val="auto"/>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placement simultaneously with this offering</w:t>
            </w:r>
          </w:p>
        </w:tc>
        <w:tc>
          <w:tcPr>
            <w:tcW w:w="6680" w:type="dxa"/>
            <w:vAlign w:val="bottom"/>
          </w:tcPr>
          <w:p>
            <w:pPr>
              <w:spacing w:after="0"/>
              <w:rPr>
                <w:sz w:val="20"/>
                <w:szCs w:val="20"/>
                <w:color w:val="auto"/>
              </w:rPr>
            </w:pPr>
          </w:p>
        </w:tc>
      </w:tr>
      <w:tr>
        <w:trPr>
          <w:trHeight w:val="45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warrants to be outstanding after this offering32,500,000</w:t>
            </w:r>
            <w:r>
              <w:rPr>
                <w:rFonts w:ascii="Times New Roman" w:cs="Times New Roman" w:eastAsia="Times New Roman" w:hAnsi="Times New Roman"/>
                <w:sz w:val="15"/>
                <w:szCs w:val="15"/>
                <w:color w:val="auto"/>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the sale of private placement warrants</w:t>
            </w:r>
          </w:p>
        </w:tc>
        <w:tc>
          <w:tcPr>
            <w:tcW w:w="6680" w:type="dxa"/>
            <w:vAlign w:val="bottom"/>
          </w:tcPr>
          <w:p>
            <w:pPr>
              <w:spacing w:after="0"/>
              <w:rPr>
                <w:sz w:val="20"/>
                <w:szCs w:val="20"/>
                <w:color w:val="auto"/>
              </w:rPr>
            </w:pP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Exercisability</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 whole warrant sold in this offering is exercisable to purchase one Class A ordinary</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subject to adjustment as described herein. Only whole warrants are exercisable.</w:t>
            </w:r>
          </w:p>
        </w:tc>
      </w:tr>
    </w:tbl>
    <w:p>
      <w:pPr>
        <w:spacing w:after="0" w:line="225" w:lineRule="exact"/>
        <w:rPr>
          <w:sz w:val="20"/>
          <w:szCs w:val="20"/>
          <w:color w:val="auto"/>
        </w:rPr>
      </w:pPr>
    </w:p>
    <w:p>
      <w:pPr>
        <w:jc w:val="both"/>
        <w:ind w:left="4340" w:right="400"/>
        <w:spacing w:after="0" w:line="261" w:lineRule="auto"/>
        <w:rPr>
          <w:sz w:val="20"/>
          <w:szCs w:val="20"/>
          <w:color w:val="auto"/>
        </w:rPr>
      </w:pPr>
      <w:r>
        <w:rPr>
          <w:rFonts w:ascii="Times New Roman" w:cs="Times New Roman" w:eastAsia="Times New Roman" w:hAnsi="Times New Roman"/>
          <w:sz w:val="18"/>
          <w:szCs w:val="18"/>
          <w:color w:val="auto"/>
        </w:rPr>
        <w:t>We structured each unit to contain one-fifth of one warrant, with each whole warrant exercisable for one Class A ordinary share, as compared to units issued by some other similar blank check companies that contain whole warrants exercisable for one whole share, to reduce the dilutive effect of the warrants upon completion of</w:t>
      </w:r>
    </w:p>
    <w:p>
      <w:pPr>
        <w:spacing w:after="0" w:line="153"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w:t>
      </w:r>
    </w:p>
    <w:p>
      <w:pPr>
        <w:spacing w:after="0" w:line="27"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3,281,250 founder shares that are subject to forfeiture.</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87,500,000 public shares and 21,875,000 founder shares, assuming 3,281,250 founder shares have been forfeited.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 business combination as compared to units that each contain a warrant to purchase one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whole share. We believe this makes us a more attractive business combination partner for</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target businesses.</w:t>
            </w:r>
          </w:p>
        </w:tc>
      </w:tr>
      <w:tr>
        <w:trPr>
          <w:trHeight w:val="45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$11.50 per whole share, subject to adjustments as described herein. In addition, if (x) we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issue additional Class A ordinary shares or equity-linked securities for capital raising</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purposes in connection with the closing of our initial business combination at an issue price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or effective issue price of less than $9.20 per ordinary share (with such issue price or</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us and, (i) in the case of any such</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issuance to our sponsor or its affiliates, without taking into account any founder shares held</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our sponsor or such affiliates, as applicable, prior to such issuance, and (ii) to the extent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that such issuance is made to our sponsor or its affiliates, without taking into account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transfer of founder shares or private placement warrants (including if such transfer is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effectuated as a surrender to us and subsequent reissuance by us) by our sponsor in</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connection with such issuance (the “Newly Issued Price”), (y) the aggregate gross proceeds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from such issuances represent more than 60% of the total equity proceeds, and interest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thereon, available for the funding of our initial business combination on the date of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consummation of our initial business combination (net of redemptions), and (z) the volume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weighted average trading price of our Class A ordinary shares during the 20 trading day</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period starting on the trading day prior to the day on which we consummate our initial</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business combination (such price, the “Market Value”) is below $9.20 per share,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exercise price of the warrants will be adjusted (to the nearest cent) to be equal to 115% of</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 higher of the Market Value and the Newly Issued Price, the $18.00 per share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redemption trigger price described adjacent to “Redemption of warrants when the price per</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Class A ordinary share equals or exceeds $18.00” and “Redemption of warrants when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price per Class A ordinary share equals or exceeds $10.00” will be adjusted (to the nearest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cent) to be equal to 180% of the higher of the Market Value and the Newly Issued Price,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and the $10.00 per share redemption trigger price described adjacent to the caption</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$10.00” will be adjusted (to the nearest cent) to be equal to the higher of the Market Value</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and the Newly Issued Price.</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 warrants will become exercisable on the later of:</w:t>
            </w:r>
          </w:p>
        </w:tc>
      </w:tr>
      <w:tr>
        <w:trPr>
          <w:trHeight w:val="351"/>
        </w:trPr>
        <w:tc>
          <w:tcPr>
            <w:tcW w:w="258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days after the completion of our initial business combination; and</w:t>
            </w:r>
          </w:p>
        </w:tc>
      </w:tr>
      <w:tr>
        <w:trPr>
          <w:trHeight w:val="338"/>
        </w:trPr>
        <w:tc>
          <w:tcPr>
            <w:tcW w:w="258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twelve months from the closing of this offering;</w:t>
            </w:r>
          </w:p>
        </w:tc>
      </w:tr>
      <w:tr>
        <w:trPr>
          <w:trHeight w:val="441"/>
        </w:trPr>
        <w:tc>
          <w:tcPr>
            <w:tcW w:w="2580" w:type="dxa"/>
            <w:vAlign w:val="bottom"/>
          </w:tcPr>
          <w:p>
            <w:pPr>
              <w:spacing w:after="0"/>
              <w:rPr>
                <w:sz w:val="24"/>
                <w:szCs w:val="24"/>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each case that we have an effective registration statement under the Securities</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Act covering the issuance of Class A ordinary shares issuable upon exercise of the warrants</w:t>
            </w:r>
          </w:p>
        </w:tc>
      </w:tr>
    </w:tbl>
    <w:p>
      <w:pPr>
        <w:ind w:left="4340" w:right="560"/>
        <w:spacing w:after="0" w:line="260" w:lineRule="auto"/>
        <w:rPr>
          <w:sz w:val="20"/>
          <w:szCs w:val="20"/>
          <w:color w:val="auto"/>
        </w:rPr>
      </w:pPr>
      <w:r>
        <w:rPr>
          <w:rFonts w:ascii="Times New Roman" w:cs="Times New Roman" w:eastAsia="Times New Roman" w:hAnsi="Times New Roman"/>
          <w:sz w:val="18"/>
          <w:szCs w:val="18"/>
          <w:color w:val="auto"/>
        </w:rPr>
        <w:t>and a current prospectus relating to them is available and such shares are registered, qualified or exempt from registration under the securities, or blue sky, laws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21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 w:right="100"/>
        <w:spacing w:after="0" w:line="255" w:lineRule="auto"/>
        <w:rPr>
          <w:sz w:val="20"/>
          <w:szCs w:val="20"/>
          <w:color w:val="auto"/>
        </w:rPr>
      </w:pPr>
      <w:r>
        <w:rPr>
          <w:rFonts w:ascii="Times New Roman" w:cs="Times New Roman" w:eastAsia="Times New Roman" w:hAnsi="Times New Roman"/>
          <w:sz w:val="18"/>
          <w:szCs w:val="18"/>
          <w:color w:val="auto"/>
        </w:rPr>
        <w:t>the state of residence of the holder (or we permit holders to exercise their warrants on a cashless basis under the circumstances specified in the warrant agreement, including as a result of a notice of redemption described below under “Redemption of warrants when the price per Class A ordinary share equals or exceeds $10.00”). If and when the warrants become redeemable by us, we may exercise our redemption right even if we are unable to register or qualify the underlying securities for sale under all applicable state securities laws.</w:t>
      </w:r>
    </w:p>
    <w:p>
      <w:pPr>
        <w:spacing w:after="0" w:line="229" w:lineRule="exact"/>
        <w:rPr>
          <w:sz w:val="20"/>
          <w:szCs w:val="20"/>
          <w:color w:val="auto"/>
        </w:rPr>
      </w:pPr>
    </w:p>
    <w:p>
      <w:pPr>
        <w:ind w:left="5" w:right="40"/>
        <w:spacing w:after="0" w:line="267" w:lineRule="auto"/>
        <w:rPr>
          <w:sz w:val="20"/>
          <w:szCs w:val="20"/>
          <w:color w:val="auto"/>
        </w:rPr>
      </w:pPr>
      <w:r>
        <w:rPr>
          <w:rFonts w:ascii="Times New Roman" w:cs="Times New Roman" w:eastAsia="Times New Roman" w:hAnsi="Times New Roman"/>
          <w:sz w:val="17"/>
          <w:szCs w:val="17"/>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provided that if our Class A ordinary shares are at the time of exercise of a warrant not listed on a national securities exchange such that they satisfy the definition of a “covered security” under Section 18(b)</w:t>
      </w:r>
    </w:p>
    <w:p>
      <w:pPr>
        <w:spacing w:after="0" w:line="5" w:lineRule="exact"/>
        <w:rPr>
          <w:sz w:val="20"/>
          <w:szCs w:val="20"/>
          <w:color w:val="auto"/>
        </w:rPr>
      </w:pPr>
    </w:p>
    <w:p>
      <w:pPr>
        <w:ind w:left="245" w:hanging="245"/>
        <w:spacing w:after="0"/>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require holders of public warrants who</w:t>
      </w:r>
    </w:p>
    <w:p>
      <w:pPr>
        <w:spacing w:after="0" w:line="9" w:lineRule="exact"/>
        <w:rPr>
          <w:rFonts w:ascii="Times New Roman" w:cs="Times New Roman" w:eastAsia="Times New Roman" w:hAnsi="Times New Roman"/>
          <w:sz w:val="18"/>
          <w:szCs w:val="18"/>
          <w:color w:val="auto"/>
        </w:rPr>
      </w:pPr>
    </w:p>
    <w:p>
      <w:pPr>
        <w:ind w:left="5"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 (9) of the Securities Act or another exemption.</w:t>
      </w:r>
    </w:p>
    <w:p>
      <w:pPr>
        <w:spacing w:after="0" w:line="220"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7" w:lineRule="exact"/>
        <w:rPr>
          <w:sz w:val="20"/>
          <w:szCs w:val="20"/>
          <w:color w:val="auto"/>
        </w:rPr>
      </w:pPr>
    </w:p>
    <w:p>
      <w:pPr>
        <w:ind w:left="5" w:right="2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81" w:lineRule="exact"/>
        <w:rPr>
          <w:sz w:val="20"/>
          <w:szCs w:val="20"/>
          <w:color w:val="auto"/>
        </w:rPr>
      </w:pPr>
    </w:p>
    <w:p>
      <w:pPr>
        <w:ind w:left="185" w:hanging="153"/>
        <w:spacing w:after="0"/>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85" w:hanging="153"/>
        <w:spacing w:after="0"/>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ectPr>
          <w:pgSz w:w="11900" w:h="16838" w:orient="portrait"/>
          <w:cols w:equalWidth="0" w:num="2">
            <w:col w:w="4020" w:space="315"/>
            <w:col w:w="6605"/>
          </w:cols>
          <w:pgMar w:left="320" w:top="455" w:right="6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9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80" w:hanging="153"/>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which we refer to as the “30-day redemption period”; and</w:t>
      </w:r>
    </w:p>
    <w:p>
      <w:pPr>
        <w:spacing w:after="0" w:line="67" w:lineRule="exact"/>
        <w:rPr>
          <w:rFonts w:ascii="Times New Roman" w:cs="Times New Roman" w:eastAsia="Times New Roman" w:hAnsi="Times New Roman"/>
          <w:sz w:val="18"/>
          <w:szCs w:val="18"/>
          <w:color w:val="auto"/>
        </w:rPr>
      </w:pPr>
    </w:p>
    <w:p>
      <w:pPr>
        <w:ind w:left="180" w:right="100" w:hanging="153"/>
        <w:spacing w:after="0" w:line="25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ordinary shares equals or exceeds $18.00 per share (as adjusted for adjustments to the number of shares issuable upon exercise or the exercise price of a warrant as described under the heading “Description of Securities— Warrants—Public Shareholders’ Warrants—Anti-Dilution Adjustments”) for any 20 trading days within a 30-trading day period ending on the third trading day prior to the date on which we send the notice of redemption to the warrant holders.</w:t>
      </w:r>
    </w:p>
    <w:p>
      <w:pPr>
        <w:spacing w:after="0" w:line="2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set forth below, none of the private placement warrants will be redeemable by us so long as they are held by our sponsor or its permitted transferees.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81" w:lineRule="exact"/>
        <w:rPr>
          <w:sz w:val="20"/>
          <w:szCs w:val="20"/>
          <w:color w:val="auto"/>
        </w:rPr>
      </w:pPr>
    </w:p>
    <w:p>
      <w:pPr>
        <w:ind w:left="180" w:hanging="153"/>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80" w:right="60" w:hanging="153"/>
        <w:spacing w:after="0" w:line="255"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set forth under “Description of Securities—Warrants—Public Shareholders’ Warrants” based on the redemption date and the “fair market value” of our Class A ordinary shares (as defined below) except as otherwise described in “Description of Securities— Warrants—Public Shareholders’ Warrants”;</w:t>
      </w:r>
    </w:p>
    <w:p>
      <w:pPr>
        <w:spacing w:after="0" w:line="94" w:lineRule="exact"/>
        <w:rPr>
          <w:rFonts w:ascii="Times New Roman" w:cs="Times New Roman" w:eastAsia="Times New Roman" w:hAnsi="Times New Roman"/>
          <w:sz w:val="18"/>
          <w:szCs w:val="18"/>
          <w:color w:val="auto"/>
        </w:rPr>
      </w:pPr>
    </w:p>
    <w:p>
      <w:pPr>
        <w:ind w:left="180" w:right="60" w:hanging="153"/>
        <w:spacing w:after="0" w:line="25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Shareholders’ Warrants—Antidilution Adjustments”) for any 20 trading days within the 30-trading day period ending three trading days before we send the notice of redemption to the warrant holders; and</w:t>
      </w:r>
    </w:p>
    <w:p>
      <w:pPr>
        <w:spacing w:after="0" w:line="200" w:lineRule="exact"/>
        <w:rPr>
          <w:sz w:val="20"/>
          <w:szCs w:val="20"/>
          <w:color w:val="auto"/>
        </w:rPr>
      </w:pPr>
    </w:p>
    <w:p>
      <w:pPr>
        <w:sectPr>
          <w:pgSz w:w="11900" w:h="16838" w:orient="portrait"/>
          <w:cols w:equalWidth="0" w:num="2">
            <w:col w:w="4020" w:space="320"/>
            <w:col w:w="6580"/>
          </w:cols>
          <w:pgMar w:left="320" w:top="455" w:right="65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76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60" w:hanging="156"/>
        <w:spacing w:after="0" w:line="254" w:lineRule="auto"/>
        <w:rPr>
          <w:sz w:val="20"/>
          <w:szCs w:val="20"/>
          <w:color w:val="auto"/>
        </w:rPr>
      </w:pPr>
      <w:r>
        <w:rPr>
          <w:rFonts w:ascii="Times New Roman" w:cs="Times New Roman" w:eastAsia="Times New Roman" w:hAnsi="Times New Roman"/>
          <w:sz w:val="18"/>
          <w:szCs w:val="18"/>
          <w:color w:val="auto"/>
        </w:rPr>
        <w:t>• 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Shareholders’ Warrants—Anti- dilution Adjustments”), the private placement warrants must also be concurrently called for redemption on the same terms as the outstanding public warrants, as described above.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“fair market value” of our Class A ordinary shares for the above purpose shall mean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volume weighted average price of our Class A ordinary shares during the 10 trading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days immediately following the date on which the notice of redemption is sent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holders of warrants. This redemption feature differs from the typical warrant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features used in other blank check offerings. We will provide our warrant holders with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final fair market value no later than one business day after the 10 trading day period</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described above ends. In no event will the warrants be exercisable in connection with this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redemption feature for more than 0.361 Class A ordinary shares per warrant (subject to</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adjustment).</w:t>
            </w:r>
          </w:p>
        </w:tc>
      </w:tr>
      <w:tr>
        <w:trPr>
          <w:trHeight w:val="441"/>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 fractional Class A ordinary shares will be issued upon redemption. If, upon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 holder would be entitled to receive a fractional interest in a share, we will round down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nearest whole number of the number of Class A ordinary shares to be issued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holder. Please see the section entitled “Description of Securities—Warrants—Public</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Shareholders’ Warrants” for additional information.</w:t>
            </w:r>
          </w:p>
        </w:tc>
      </w:tr>
      <w:tr>
        <w:trPr>
          <w:trHeight w:val="441"/>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Founder shares</w:t>
            </w: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consideration of 25,156,250 Class B ordinary shares, par value $0.0001. Prior to the initial</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investment in the company of $25,000 by the sponsor, the company had no assets, tangible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or intangible. If we increase or decrease the size of this offering, we will effect a share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capitalization or a share surrender or redemption or other appropriate mechanism, as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applicable, with respect to our Class B ordinary shares immediately prior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consummation of this offering in such amount as to maintain the ownership of our sponsor</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(and its permitted transferees), on an as-converted basis, at 20% of our issued and</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outstanding ordinary shares upon the consummation of this offering. Up to 3,281,250</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founder shares are subject to forfeiture by our sponsor, depending on the extent to which</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underwriters’ over-allotment option is exercised.</w:t>
            </w:r>
          </w:p>
        </w:tc>
      </w:tr>
      <w:tr>
        <w:trPr>
          <w:trHeight w:val="240"/>
        </w:trPr>
        <w:tc>
          <w:tcPr>
            <w:tcW w:w="27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r>
      <w:tr>
        <w:trPr>
          <w:trHeight w:val="604"/>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20"/>
        <w:spacing w:after="0" w:line="282" w:lineRule="auto"/>
        <w:rPr>
          <w:sz w:val="20"/>
          <w:szCs w:val="20"/>
          <w:color w:val="auto"/>
        </w:rPr>
      </w:pPr>
      <w:r>
        <w:rPr>
          <w:rFonts w:ascii="Times New Roman" w:cs="Times New Roman" w:eastAsia="Times New Roman" w:hAnsi="Times New Roman"/>
          <w:sz w:val="18"/>
          <w:szCs w:val="18"/>
          <w:color w:val="auto"/>
        </w:rPr>
        <w:t>The founder shares are identical to the Class A ordinary shares included in the units being sold in this offering, except that:</w:t>
      </w:r>
    </w:p>
    <w:p>
      <w:pPr>
        <w:spacing w:after="0" w:line="67" w:lineRule="exact"/>
        <w:rPr>
          <w:sz w:val="20"/>
          <w:szCs w:val="20"/>
          <w:color w:val="auto"/>
        </w:rPr>
      </w:pPr>
    </w:p>
    <w:p>
      <w:pPr>
        <w:ind w:left="4520" w:hanging="153"/>
        <w:spacing w:after="0" w:line="266"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the founder shares have the right to vote on the election of directors prior to our initial business combination and holders of a majority of our founder shares may remove a member of the board of directors for any reason;</w:t>
      </w:r>
    </w:p>
    <w:p>
      <w:pPr>
        <w:spacing w:after="0" w:line="81" w:lineRule="exact"/>
        <w:rPr>
          <w:rFonts w:ascii="Times New Roman" w:cs="Times New Roman" w:eastAsia="Times New Roman" w:hAnsi="Times New Roman"/>
          <w:sz w:val="18"/>
          <w:szCs w:val="18"/>
          <w:color w:val="auto"/>
        </w:rPr>
      </w:pPr>
    </w:p>
    <w:p>
      <w:pPr>
        <w:ind w:left="4520" w:right="80" w:hanging="153"/>
        <w:spacing w:after="0" w:line="282"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subject to certain transfer restrictions, as described in more detail below;</w:t>
      </w:r>
    </w:p>
    <w:p>
      <w:pPr>
        <w:spacing w:after="0" w:line="67" w:lineRule="exact"/>
        <w:rPr>
          <w:rFonts w:ascii="Times New Roman" w:cs="Times New Roman" w:eastAsia="Times New Roman" w:hAnsi="Times New Roman"/>
          <w:sz w:val="18"/>
          <w:szCs w:val="18"/>
          <w:color w:val="auto"/>
        </w:rPr>
      </w:pPr>
    </w:p>
    <w:p>
      <w:pPr>
        <w:ind w:left="4520" w:hanging="153"/>
        <w:spacing w:after="0" w:line="267" w:lineRule="auto"/>
        <w:tabs>
          <w:tab w:leader="none" w:pos="4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sponsor, directors and of our executive officers have entered into an agreement with us, pursuant to which they have agreed to (i) waive their redemption rights with respect to their founder shares, (ii)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spacing w:after="0" w:line="5" w:lineRule="exact"/>
        <w:rPr>
          <w:rFonts w:ascii="Times New Roman" w:cs="Times New Roman" w:eastAsia="Times New Roman" w:hAnsi="Times New Roman"/>
          <w:sz w:val="17"/>
          <w:szCs w:val="17"/>
          <w:color w:val="auto"/>
        </w:rPr>
      </w:pPr>
    </w:p>
    <w:p>
      <w:pPr>
        <w:ind w:left="452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with respect to any other provision relating to the rights of holders of our Class A ordinary shares and (iii) waive their rights to liquidating distributions from the trust account with respect to their founder shares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sponsor, and each of our directors and executive officers have agreed to vote his or her founder shares and any public shares purchased during or after this offering in favor of our initial business combination. As a result, in addition to our initial shareholders’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w:t>
      </w:r>
    </w:p>
    <w:p>
      <w:pPr>
        <w:spacing w:after="0" w:line="95" w:lineRule="exact"/>
        <w:rPr>
          <w:rFonts w:ascii="Times New Roman" w:cs="Times New Roman" w:eastAsia="Times New Roman" w:hAnsi="Times New Roman"/>
          <w:sz w:val="17"/>
          <w:szCs w:val="17"/>
          <w:color w:val="auto"/>
        </w:rPr>
      </w:pPr>
    </w:p>
    <w:p>
      <w:pPr>
        <w:ind w:left="4520" w:right="240" w:hanging="153"/>
        <w:spacing w:after="0" w:line="261"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85" w:lineRule="exact"/>
        <w:rPr>
          <w:rFonts w:ascii="Times New Roman" w:cs="Times New Roman" w:eastAsia="Times New Roman" w:hAnsi="Times New Roman"/>
          <w:sz w:val="18"/>
          <w:szCs w:val="18"/>
          <w:color w:val="auto"/>
        </w:rPr>
      </w:pPr>
    </w:p>
    <w:p>
      <w:pPr>
        <w:ind w:left="4520" w:hanging="153"/>
        <w:spacing w:after="0"/>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entitled to registration rights.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0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founder shares</w:t>
            </w: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as described herein, our sponsor, directors and executive officers have agreed not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transfer, assign or sell any of their founder shares until the earliest of (A) one year after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completion of our initial business combination or (B) subsequent to our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(x) if the closing price of our Class A ordinary shares equals or exceeds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$12.00 per share (as adjusted for share subdivisions, share capitalizations, reorganizations,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recapitalizations and the like) for any 20 trading days within any 30-trading day period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commencing at least 150 days after our initial business combination, or (y) the date 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which we complete a liquidation, merger, share exchange or other similar transaction that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results in all of our shareholders having the right to exchange their ordinary shares for cash,</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securities or other property.</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Founder shares conversion and anti-dilution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founder shares are designated as Class B ordinary shares and will automatically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 into Class A ordinary shares on the first business day following the consummation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 our initial business combination at a ratio such that the number of Class A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issuable upon conversion of all founder shares will equal, in the aggregate, on an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as-converted basis, 20% of the sum of (i) the total number of ordinary shares issued and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outstanding upon completion of this offering, plus (ii) the total number of Class A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or deemed issued or issuable upon conversion or exercise of any equity-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linked securities (as defined herein) or rights issued or deemed issued, by the company in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connection with or in relation to the consummation of the initial business combination,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excluding any Class A ordinary shares or equity-linked securities exercisable for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convertible into Class A ordinary shares issued, or to be issued, to any seller in the initial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business combination and any private placement warrants issued to our sponsor upon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conversion of working capital loans. Any conversion of Class B ordinary shares described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herein will take effect as a compulsory redemption of Class B ordinary shares and an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issuance of Class A ordinary shares as a matter of Cayman Islands law. In no event will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B ordinary shares convert into Class A ordinary shares at a rate of less than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one-to-one.</w:t>
            </w:r>
          </w:p>
        </w:tc>
      </w:tr>
      <w:tr>
        <w:trPr>
          <w:trHeight w:val="441"/>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term “equity-linked securities” refers to any debt or equity securities that are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convertible, exercisable or exchangeable for our Class A ordinary shares issued in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financing transaction in connection with our initial business combination, including but not</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limited to a private placement of equity or debt.</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Election of directors; voting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right to vote on the election of directors. Holders of our public shares will not be entitled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vote on the election of directors during such time. In addition, prior to the completion of an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initial business combination, holders of a majority of our founder</w:t>
            </w:r>
          </w:p>
        </w:tc>
      </w:tr>
      <w:tr>
        <w:trPr>
          <w:trHeight w:val="240"/>
        </w:trPr>
        <w:tc>
          <w:tcPr>
            <w:tcW w:w="4000" w:type="dxa"/>
            <w:vAlign w:val="bottom"/>
            <w:tcBorders>
              <w:left w:val="single" w:sz="8" w:color="auto"/>
              <w:bottom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spacing w:after="0"/>
              <w:rPr>
                <w:sz w:val="20"/>
                <w:szCs w:val="20"/>
                <w:color w:val="auto"/>
              </w:rPr>
            </w:pPr>
          </w:p>
        </w:tc>
      </w:tr>
      <w:tr>
        <w:trPr>
          <w:trHeight w:val="604"/>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may remove a member of the board of directors for any reason. These provisions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may only be amended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by a special resolution passed by not less than two-thirds of our ordinary shares who attend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vote at our shareholder meeting which shall include the affirmative vote of a simple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majority of our Class B ordinary shares. With respect to any other matter submitted to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vote of our shareholders, including any vote in connection with our initial business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combination, except as required by law, holders of our founder shares and holders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public shares will vote together as a single class, with each share entitling the holder to one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vote.</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15,000,000 private placement warrants (or 16,750,000 private placement warrants if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each exercisable to purchase one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 at $11.50 per share, at a price of $1.50 per warrant ($22,500,000 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aggregate or $25,125,000 if the underwriters’ over-allotment option is exercised 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full), in a private placement that will close simultaneously with the closing of this offering.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If we do not consummate an initial business combination within 24 months from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closing of this offering, the private placement warrants will expire worthless. The private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placement warrants will be non-redeemable (except as set forth under the caption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“Description of Securities—Warrants—Public Shareholders’ Warrants—Redemption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when the price per Class A ordinary share equals or exceeds $10.00)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exercisable on a cashless basis so long as they are held by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transferees (see “Description of Securities—Warrants—Private Placement Warrants”). If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private placement warrants are held by holders other than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transferees, the private placement warrants will be redeemable by us in all redemption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scenarios and exercisable by the holders on the same basis as the warrants included in the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units being sold in this offering.</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of the private placement warrants) will not be transferable, assignable or salable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herein under “Principal Shareholders—Transfers of Founder Shares and Private Placement</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If holders of private placement warrants elect to exercise them on a cashless basis, except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 described under “Redemption of warrants when the price per Class A ordinary share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equals or exceeds $10.00,” they would pay the exercise price by surrendering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for that number of Class A ordinary shares equal to the quotient obtained by</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dividing (x) the product of the number of Class A ordinary shares</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48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underlying the warrants, multiplied by the excess of the “Sponsor fair market value”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(defined below) over the exercise price of the warrants by (y) our sponsor fair market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value. The “Sponsor fair market value” shall mean the average reported closing price of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Class A ordinary shares for the 10 trading days ending on the third trading day prior to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date on which the notice of warrant exercise is sent to the warrant agent. The reason that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we have agreed that these warrants will be exercisable on a cashless basis so long as they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are held by our sponsor or its permitted transferees is because it is not known at this time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whether they will be affiliated with us following a business combination. If they remain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affiliated with us, their ability to sell our securities in the open market will be significantly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limited. We expect to have policies in place that restrict insiders from selling our securities</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except during specific periods.</w:t>
            </w:r>
          </w:p>
        </w:tc>
      </w:tr>
      <w:tr>
        <w:trPr>
          <w:trHeight w:val="454"/>
        </w:trPr>
        <w:tc>
          <w:tcPr>
            <w:tcW w:w="3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to be held in trust account</w:t>
            </w: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 the proceeds we will receive from this offering and the sale of the private placement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warrants described in this prospectus, $875,000,000, or $1,006,250,000 if the underwriters’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over-allotment option is exercised in full ($10.00 per unit in either case), will be deposited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into a segregated trust account located in the United States at J.P. Morgan Chase Bank,</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N.A. with Continental Stock Transfer &amp; Trust Company acting as trustee, after deducting</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$17,500,000 (or $20,125,000 if the underwriters’ over-allotment option is exercised in full)</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 underwriting discounts and commissions payable upon the closing of this offering and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an aggregate of $3,000,000 to pay fees and expenses in connection with the closing of this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offering and for working capital following the closing of this offering. The proceeds to be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placed in the trust account include $30,625,000 (or $35,218,750 if the underwriters’ over-</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allotment option is exercised in full) in deferred underwriting commissions.</w:t>
            </w:r>
          </w:p>
        </w:tc>
      </w:tr>
      <w:tr>
        <w:trPr>
          <w:trHeight w:val="441"/>
        </w:trPr>
        <w:tc>
          <w:tcPr>
            <w:tcW w:w="348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Except with respect to interest earned on the funds held in the trust account that may be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released to us to pay our income taxes, if any, (less up to $100,000 of interest to pay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dissolution expenses) our amended and restated memorandum and articles of association,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as discussed below and subject to the requirements of law and regulation, will provide that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proceeds from this offering and the sale of the private placement warrants held in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trust account will not be released from the trust account (1) to us, until the completion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our initial business combination, or (2) to our public shareholders, until the earliest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 the completion of our initial business combination, and then only in connection with</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those Class A ordinary shares that such shareholders properly elected to redeem, subject to</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limitations described herein, (b) the redemption of any public shares properly tendered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 connection with a shareholder vote to amend our amended and restated memorandum</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and articles of association (i) to modify the substance or timing of our obligation to provide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holders of our Class A ordinary shares the right to have their shares redeemed in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connection with our initial business combination or to redeem 100% of our public shares if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we do not consummate an initial business combination within 24 months from the closing</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 this</w:t>
            </w:r>
          </w:p>
        </w:tc>
      </w:tr>
      <w:tr>
        <w:trPr>
          <w:trHeight w:val="240"/>
        </w:trPr>
        <w:tc>
          <w:tcPr>
            <w:tcW w:w="3480" w:type="dxa"/>
            <w:vAlign w:val="bottom"/>
            <w:tcBorders>
              <w:left w:val="single" w:sz="8" w:color="auto"/>
              <w:bottom w:val="single" w:sz="8" w:color="auto"/>
            </w:tcBorders>
          </w:tcPr>
          <w:p>
            <w:pPr>
              <w:spacing w:after="0"/>
              <w:rPr>
                <w:sz w:val="20"/>
                <w:szCs w:val="20"/>
                <w:color w:val="auto"/>
              </w:rPr>
            </w:pPr>
          </w:p>
        </w:tc>
        <w:tc>
          <w:tcPr>
            <w:tcW w:w="7540" w:type="dxa"/>
            <w:vAlign w:val="bottom"/>
            <w:tcBorders>
              <w:bottom w:val="single" w:sz="8" w:color="auto"/>
              <w:right w:val="single" w:sz="8" w:color="auto"/>
            </w:tcBorders>
          </w:tcPr>
          <w:p>
            <w:pPr>
              <w:spacing w:after="0"/>
              <w:rPr>
                <w:sz w:val="20"/>
                <w:szCs w:val="20"/>
                <w:color w:val="auto"/>
              </w:rPr>
            </w:pPr>
          </w:p>
        </w:tc>
      </w:tr>
      <w:tr>
        <w:trPr>
          <w:trHeight w:val="604"/>
        </w:trPr>
        <w:tc>
          <w:tcPr>
            <w:tcW w:w="3480" w:type="dxa"/>
            <w:vAlign w:val="bottom"/>
          </w:tcPr>
          <w:p>
            <w:pPr>
              <w:spacing w:after="0"/>
              <w:rPr>
                <w:sz w:val="24"/>
                <w:szCs w:val="24"/>
                <w:color w:val="auto"/>
              </w:rPr>
            </w:pPr>
          </w:p>
        </w:tc>
        <w:tc>
          <w:tcPr>
            <w:tcW w:w="7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offering or (ii) with respect to any other provisions relating to the rights of holders of our</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Class A ordinary shares, and (c) the redemption of our public shares if we have not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completed our business combination within 24 months from the closing of this offering,</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subject to applicable law. Public shareholders who elect to have their Class A ordinary</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shares redeemed in connection with a shareholder vote described in clause (b) in the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preceding sentence shall not be entitled to funds from the trust account upon the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subsequent completion of an initial business combination or liquidation if we have not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completed an initial business combination within 24 months from the closing of this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offering, with respect to such Class A ordinary shares so redeemed. The proceeds deposited</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in the trust account could become subject to the claims of our creditors, if any, which could</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have priority over the claims of our public shareholders.</w:t>
            </w:r>
          </w:p>
        </w:tc>
      </w:tr>
      <w:tr>
        <w:trPr>
          <w:trHeight w:val="45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Anticipated expenses and funding sources</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Except as described above with respect to the payment of taxes, unless and until we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 our initial business combination, no proceeds held in the trust account will be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available for our use. The proceeds held in the trust account will be invested only in U.S.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government treasury obligations with a maturity of 185 days or less or in money market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funds meeting certain conditions under Rule 2a-7 under the Investment Company Act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which invest only in direct U.S. government treasury obligations. Assuming an interest rate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0.1 % per year, we estimate the interest earned on the trust account will be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approximately $875,000 per year; however, we can provide no assurances regarding this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 Unless and until we complete our initial business combination, we may pay our</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 only from:</w:t>
            </w:r>
          </w:p>
        </w:tc>
      </w:tr>
      <w:tr>
        <w:trPr>
          <w:trHeight w:val="319"/>
        </w:trPr>
        <w:tc>
          <w:tcPr>
            <w:tcW w:w="3640" w:type="dxa"/>
            <w:vAlign w:val="bottom"/>
          </w:tcPr>
          <w:p>
            <w:pPr>
              <w:spacing w:after="0"/>
              <w:rPr>
                <w:sz w:val="24"/>
                <w:szCs w:val="2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net proceeds of this offering and the sale of the private placement warrants not held</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trust account, which will be approximately $2,000,000 in working capital after the</w:t>
            </w:r>
          </w:p>
        </w:tc>
      </w:tr>
      <w:tr>
        <w:trPr>
          <w:trHeight w:val="234"/>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approximately $3,000,000 in expenses relating to this offering; and</w:t>
            </w:r>
          </w:p>
        </w:tc>
      </w:tr>
      <w:tr>
        <w:trPr>
          <w:trHeight w:val="319"/>
        </w:trPr>
        <w:tc>
          <w:tcPr>
            <w:tcW w:w="3640" w:type="dxa"/>
            <w:vAlign w:val="bottom"/>
          </w:tcPr>
          <w:p>
            <w:pPr>
              <w:spacing w:after="0"/>
              <w:rPr>
                <w:sz w:val="24"/>
                <w:szCs w:val="2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loans or additional investments from our sponsor or an affiliate of our sponsor or</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of our officers and directors, although they are under no obligation to advance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or invest in us, and provided any such loans will not have any claim on the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held in the trust account unless such proceeds are released to us upon</w:t>
            </w:r>
          </w:p>
        </w:tc>
      </w:tr>
      <w:tr>
        <w:trPr>
          <w:trHeight w:val="234"/>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r>
      <w:tr>
        <w:trPr>
          <w:trHeight w:val="4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completing our initial business</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NYSE rules currently require that, our initial business combination must occur with one or</w:t>
            </w:r>
          </w:p>
        </w:tc>
      </w:tr>
      <w:tr>
        <w:trPr>
          <w:trHeight w:val="216"/>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more target businesses that together have an aggregate fair market value of at least 80% of</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our assets held in the trust account (excluding the amount of deferred underwriting</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discounts held in trust and taxes payable on the income earned on the trust account) at the</w:t>
            </w:r>
          </w:p>
        </w:tc>
      </w:tr>
    </w:tbl>
    <w:p>
      <w:pPr>
        <w:ind w:left="4340" w:right="500"/>
        <w:spacing w:after="0" w:line="255" w:lineRule="auto"/>
        <w:rPr>
          <w:sz w:val="20"/>
          <w:szCs w:val="20"/>
          <w:color w:val="auto"/>
        </w:rPr>
      </w:pPr>
      <w:r>
        <w:rPr>
          <w:rFonts w:ascii="Times New Roman" w:cs="Times New Roman" w:eastAsia="Times New Roman" w:hAnsi="Times New Roman"/>
          <w:sz w:val="18"/>
          <w:szCs w:val="18"/>
          <w:color w:val="auto"/>
        </w:rPr>
        <w:t>time of our signing a definitive agreement in connection with our initial business combination. If our board of directors is not able to independently determine the fair market value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41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the target business or businesses, we will obtain an opinion from an independent investment banking firm or an independent accounting firm. Our shareholders may not be provided with a copy of such opinion nor will they be able to rely on such opinion.</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including without limitation, officers and affiliates of Ares or Ares funds, or investors in such Ares funds,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including without limitation, officers and affiliates of Ares or Ares funds, or investors in such Ares funds,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w:t>
      </w:r>
    </w:p>
    <w:p>
      <w:pPr>
        <w:spacing w:after="0" w:line="200" w:lineRule="exact"/>
        <w:rPr>
          <w:sz w:val="20"/>
          <w:szCs w:val="20"/>
          <w:color w:val="auto"/>
        </w:rPr>
      </w:pPr>
    </w:p>
    <w:p>
      <w:pPr>
        <w:sectPr>
          <w:pgSz w:w="11900" w:h="16838" w:orient="portrait"/>
          <w:cols w:equalWidth="0" w:num="2">
            <w:col w:w="3740" w:space="600"/>
            <w:col w:w="6580"/>
          </w:cols>
          <w:pgMar w:left="320" w:top="455" w:right="6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320" w:top="455" w:right="6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41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left="300"/>
        <w:spacing w:after="0" w:line="312" w:lineRule="auto"/>
        <w:rPr>
          <w:sz w:val="20"/>
          <w:szCs w:val="20"/>
          <w:color w:val="auto"/>
        </w:rPr>
      </w:pPr>
      <w:r>
        <w:rPr>
          <w:rFonts w:ascii="Times New Roman" w:cs="Times New Roman" w:eastAsia="Times New Roman" w:hAnsi="Times New Roman"/>
          <w:sz w:val="17"/>
          <w:szCs w:val="17"/>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“Proposed Business—Permitted Purchases of Our Securities” for a description of how our sponsor, directors, executive officers, advisors or any of their affiliates, including without limitation, officers and affiliates of Ares or Ares funds, or investors in such Ares funds, will select which shareholders to purchase securities from in any private transaction.</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2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elect to have all or a portion of their Class A ordinary shares redeemed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w:t>
      </w:r>
    </w:p>
    <w:p>
      <w:pPr>
        <w:spacing w:after="0" w:line="200" w:lineRule="exact"/>
        <w:rPr>
          <w:sz w:val="20"/>
          <w:szCs w:val="20"/>
          <w:color w:val="auto"/>
        </w:rPr>
      </w:pPr>
    </w:p>
    <w:p>
      <w:pPr>
        <w:sectPr>
          <w:pgSz w:w="11900" w:h="16838" w:orient="portrait"/>
          <w:cols w:equalWidth="0" w:num="2">
            <w:col w:w="3740" w:space="600"/>
            <w:col w:w="6600"/>
          </w:cols>
          <w:pgMar w:left="320" w:top="455" w:right="6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46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distribute to investors who properly elect to have their shares redeemed will not be reduced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by the deferred underwriting commissions we will pay to the underwriters. The redemption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rights will include the requirement that a beneficial holder must identify itself before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can validly redeem its shares. There will be no redemption rights upon the completion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our initial business combination with respect to our warrants. Our sponsor and each of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directors and executive officers have entered into an agreement with us, pursuant to which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they have agreed to waive their redemption rights with respect to any founder shares and</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any public shares in connection with the completion of our initial business combination.</w:t>
            </w:r>
          </w:p>
        </w:tc>
      </w:tr>
      <w:tr>
        <w:trPr>
          <w:trHeight w:val="454"/>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Limitations on redemptions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in no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event will we redeem our public shares in an amount that would cause our net tangible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assets to be less than $5,000,001 (so that we are not subject to the SEC’s “penny stock”</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rules). However, a greater net tangible asset or cash requirement may be contained in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agreement relating to our initial business combination. For example, the proposed business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may require: (i) cash consideration to be paid to the target or its owners,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(ii) cash to be transferred to the target for working capital or other general corporate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purposes or (iii) the retention of cash to satisfy other conditions in accordance with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terms of the proposed business combination. Furthermore, although we will not redeem</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shares in an amount that would cause our net tangible assets to fall below $5,000,001,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do not have a maximum redemption threshold based on the percentage of shares sold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this offering, as many blank check companies do. In the event the aggregate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consideration we would be required to pay for all Class A ordinary shares that are validly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submitted for redemption plus any amount required to satisfy cash conditions pursuant to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terms of the proposed business combination exceed the aggregate amount of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available to us, we will not complete the business combination or redeem any shares, and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all Class A ordinary shares submitted for redemption will be returned to the holders</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thereof.</w:t>
            </w:r>
          </w:p>
        </w:tc>
      </w:tr>
      <w:tr>
        <w:trPr>
          <w:trHeight w:val="441"/>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Manner of conducting redemptions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public shares redeemed upon the completion of our initial business combination either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 in connection with a shareholder meeting called to approve the business combination 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(ii) by means of a tender offer. The decision as to whether we will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of a proposed business combination or conduct a tender offer will be made by us,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solely in our discretion, and will be based on a variety of factors such as the timing of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transaction and whether the terms of the transaction would require us to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under applicable law or stock exchange listing requirement. Asset acquisitions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share purchases would not typically require shareholder approval, while direct mergers</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with our company where we do not survive and any transactions where we</w:t>
            </w:r>
          </w:p>
        </w:tc>
      </w:tr>
      <w:tr>
        <w:trPr>
          <w:trHeight w:val="240"/>
        </w:trPr>
        <w:tc>
          <w:tcPr>
            <w:tcW w:w="3460" w:type="dxa"/>
            <w:vAlign w:val="bottom"/>
            <w:tcBorders>
              <w:left w:val="single" w:sz="8" w:color="auto"/>
              <w:bottom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spacing w:after="0"/>
              <w:rPr>
                <w:sz w:val="20"/>
                <w:szCs w:val="20"/>
                <w:color w:val="auto"/>
              </w:rPr>
            </w:pPr>
          </w:p>
        </w:tc>
      </w:tr>
      <w:tr>
        <w:trPr>
          <w:trHeight w:val="604"/>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6" w:lineRule="auto"/>
        <w:rPr>
          <w:sz w:val="20"/>
          <w:szCs w:val="20"/>
          <w:color w:val="auto"/>
        </w:rPr>
      </w:pPr>
      <w:r>
        <w:rPr>
          <w:rFonts w:ascii="Times New Roman" w:cs="Times New Roman" w:eastAsia="Times New Roman" w:hAnsi="Times New Roman"/>
          <w:sz w:val="18"/>
          <w:szCs w:val="18"/>
          <w:color w:val="auto"/>
        </w:rPr>
        <w:t>issue more than 20% of our outstanding Class A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w:t>
      </w: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If we hold a shareholder vote to approve our initial business combination, we will:</w:t>
      </w:r>
    </w:p>
    <w:p>
      <w:pPr>
        <w:spacing w:after="0" w:line="131" w:lineRule="exact"/>
        <w:rPr>
          <w:sz w:val="20"/>
          <w:szCs w:val="20"/>
          <w:color w:val="auto"/>
        </w:rPr>
      </w:pPr>
    </w:p>
    <w:p>
      <w:pPr>
        <w:ind w:left="4520" w:right="20" w:hanging="153"/>
        <w:spacing w:after="0" w:line="266" w:lineRule="auto"/>
        <w:tabs>
          <w:tab w:leader="none" w:pos="4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1" w:lineRule="exact"/>
        <w:rPr>
          <w:rFonts w:ascii="Times New Roman" w:cs="Times New Roman" w:eastAsia="Times New Roman" w:hAnsi="Times New Roman"/>
          <w:sz w:val="18"/>
          <w:szCs w:val="18"/>
          <w:color w:val="auto"/>
        </w:rPr>
      </w:pPr>
    </w:p>
    <w:p>
      <w:pPr>
        <w:ind w:left="4520" w:hanging="153"/>
        <w:spacing w:after="0"/>
        <w:tabs>
          <w:tab w:leader="none" w:pos="4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52"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obtain the approval of an ordinary resolution under Cayman Islands law, which requires the affirmative vote of shareholders holding a majority of ordinary shares who attend and vote at a general meeting (referred to herein as a “shareholder meeting”) of the company. In such case, our sponsor and each of our directors and executive officers have agreed to vote their founder shares and any public shares purchased during or after this offering in favor of our initial business combination. As a result, in addition to our initial shareholders’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Each public shareholder may elect to have their their public shares redeemed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222" w:lineRule="exact"/>
        <w:rPr>
          <w:sz w:val="20"/>
          <w:szCs w:val="20"/>
          <w:color w:val="auto"/>
        </w:rPr>
      </w:pPr>
    </w:p>
    <w:p>
      <w:pPr>
        <w:ind w:left="4340" w:right="12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4520" w:right="280" w:hanging="153"/>
        <w:spacing w:after="0" w:line="282"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67" w:lineRule="exact"/>
        <w:rPr>
          <w:rFonts w:ascii="Times New Roman" w:cs="Times New Roman" w:eastAsia="Times New Roman" w:hAnsi="Times New Roman"/>
          <w:sz w:val="18"/>
          <w:szCs w:val="18"/>
          <w:color w:val="auto"/>
        </w:rPr>
      </w:pPr>
    </w:p>
    <w:p>
      <w:pPr>
        <w:ind w:left="4520" w:right="100" w:hanging="153"/>
        <w:spacing w:after="0" w:line="266"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413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hanging="78"/>
        <w:spacing w:after="0" w:line="266"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Regulation 14A of the Exchange Act, which regulates the solicitation of proxies.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to comply with Rule 14e-5 under the Exchange Act.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having their shares redeemed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require us to redeem their shares as a means to force us or our directors and executive officers or affiliates of our sponsor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require us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w:t>
      </w:r>
    </w:p>
    <w:p>
      <w:pPr>
        <w:spacing w:after="0" w:line="200" w:lineRule="exact"/>
        <w:rPr>
          <w:sz w:val="20"/>
          <w:szCs w:val="20"/>
          <w:color w:val="auto"/>
        </w:rPr>
      </w:pPr>
    </w:p>
    <w:p>
      <w:pPr>
        <w:sectPr>
          <w:pgSz w:w="11900" w:h="16838" w:orient="portrait"/>
          <w:cols w:equalWidth="0" w:num="2">
            <w:col w:w="3860" w:space="480"/>
            <w:col w:w="6580"/>
          </w:cols>
          <w:pgMar w:left="320" w:top="455" w:right="65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267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80" w:hanging="78"/>
        <w:spacing w:after="0" w:line="312" w:lineRule="auto"/>
        <w:rPr>
          <w:sz w:val="20"/>
          <w:szCs w:val="20"/>
          <w:color w:val="auto"/>
        </w:rPr>
      </w:pPr>
      <w:r>
        <w:rPr>
          <w:rFonts w:ascii="Times New Roman" w:cs="Times New Roman" w:eastAsia="Times New Roman" w:hAnsi="Times New Roman"/>
          <w:sz w:val="17"/>
          <w:szCs w:val="17"/>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that we have a minimum net worth or a certain amount of cash. However, the ability of our shareholders to vote all of their shares (including all shares held by those shareholders that hold more than 15% of the shares sold in this offering) for or against our initial business combination would not be restricted.</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24 months from the closing of this offering to consummate our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w:t>
      </w:r>
    </w:p>
    <w:p>
      <w:pPr>
        <w:spacing w:after="0" w:line="200" w:lineRule="exact"/>
        <w:rPr>
          <w:sz w:val="20"/>
          <w:szCs w:val="20"/>
          <w:color w:val="auto"/>
        </w:rPr>
      </w:pPr>
    </w:p>
    <w:p>
      <w:pPr>
        <w:sectPr>
          <w:pgSz w:w="11900" w:h="16838" w:orient="portrait"/>
          <w:cols w:equalWidth="0" w:num="2">
            <w:col w:w="3920" w:space="420"/>
            <w:col w:w="6600"/>
          </w:cols>
          <w:pgMar w:left="320" w:top="455" w:right="6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00"/>
        <w:spacing w:after="0" w:line="266" w:lineRule="auto"/>
        <w:rPr>
          <w:sz w:val="20"/>
          <w:szCs w:val="20"/>
          <w:color w:val="auto"/>
        </w:rPr>
      </w:pPr>
      <w:r>
        <w:rPr>
          <w:rFonts w:ascii="Times New Roman" w:cs="Times New Roman" w:eastAsia="Times New Roman" w:hAnsi="Times New Roman"/>
          <w:sz w:val="18"/>
          <w:szCs w:val="18"/>
          <w:color w:val="auto"/>
        </w:rPr>
        <w:t>applicable law. There will be no redemption rights or liquidating distributions with respect to our warrants, which will expire worthless if we fail to consummate an initial business combination within 24 months from the closing of this offering.</w:t>
      </w:r>
    </w:p>
    <w:p>
      <w:pPr>
        <w:spacing w:after="0" w:line="216"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219" w:lineRule="exact"/>
        <w:rPr>
          <w:sz w:val="20"/>
          <w:szCs w:val="20"/>
          <w:color w:val="auto"/>
        </w:rPr>
      </w:pPr>
    </w:p>
    <w:p>
      <w:pPr>
        <w:ind w:left="4340" w:right="40"/>
        <w:spacing w:after="0" w:line="258" w:lineRule="auto"/>
        <w:rPr>
          <w:sz w:val="20"/>
          <w:szCs w:val="20"/>
          <w:color w:val="auto"/>
        </w:rPr>
      </w:pPr>
      <w:r>
        <w:rPr>
          <w:rFonts w:ascii="Times New Roman" w:cs="Times New Roman" w:eastAsia="Times New Roman" w:hAnsi="Times New Roman"/>
          <w:sz w:val="18"/>
          <w:szCs w:val="18"/>
          <w:color w:val="auto"/>
        </w:rPr>
        <w:t>The underwriters have agreed to waive their rights to their deferred underwriting commission held in the trust account in the event we do not consummate an initial business combination within 24 months from the closing of this offering and, in such event, such amounts will be included with the funds held in the trust account that will be available to fund the redemption of our public shares.</w:t>
      </w:r>
    </w:p>
    <w:p>
      <w:pPr>
        <w:spacing w:after="0" w:line="210"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any executive officer, director or director nominee, or any other person.</w:t>
            </w:r>
          </w:p>
        </w:tc>
      </w:tr>
      <w:tr>
        <w:trPr>
          <w:trHeight w:val="454"/>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if we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wind up for any other reason prior to the consummation of our initial business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combination, we will follow the foregoing procedures with respect to the liquidation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trust account as promptly as reasonably possible but not more than ten business days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thereafter, subject to applicable Cayman Islands law.</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Limited payments to insiders</w:t>
            </w: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There will be no finder’s fees, reimbursements or cash payments made by the company to</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our sponsor, officers or directors, or our or their affiliates, for services rendered to us prior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to or in connection with the completion of our initial business combination, other than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following payments, none of which will be made from the proceeds of this offering and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sale of the private placement warrants held in the trust account prior to the completion of</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our initial business combination:</w:t>
            </w:r>
          </w:p>
        </w:tc>
      </w:tr>
      <w:tr>
        <w:trPr>
          <w:trHeight w:val="319"/>
        </w:trPr>
        <w:tc>
          <w:tcPr>
            <w:tcW w:w="3240" w:type="dxa"/>
            <w:vAlign w:val="bottom"/>
            <w:tcBorders>
              <w:left w:val="single" w:sz="8" w:color="auto"/>
            </w:tcBorders>
          </w:tcPr>
          <w:p>
            <w:pPr>
              <w:spacing w:after="0"/>
              <w:rPr>
                <w:sz w:val="24"/>
                <w:szCs w:val="24"/>
                <w:color w:val="auto"/>
              </w:rPr>
            </w:pPr>
          </w:p>
        </w:tc>
        <w:tc>
          <w:tcPr>
            <w:tcW w:w="1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Repayment of up to an aggregate of $300,000 in loans made to us by our sponsor to</w:t>
            </w:r>
          </w:p>
        </w:tc>
      </w:tr>
      <w:tr>
        <w:trPr>
          <w:trHeight w:val="234"/>
        </w:trPr>
        <w:tc>
          <w:tcPr>
            <w:tcW w:w="324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cover offering-related and organizational expenses;</w:t>
            </w:r>
          </w:p>
        </w:tc>
      </w:tr>
      <w:tr>
        <w:trPr>
          <w:trHeight w:val="319"/>
        </w:trPr>
        <w:tc>
          <w:tcPr>
            <w:tcW w:w="3240" w:type="dxa"/>
            <w:vAlign w:val="bottom"/>
            <w:tcBorders>
              <w:left w:val="single" w:sz="8" w:color="auto"/>
            </w:tcBorders>
          </w:tcPr>
          <w:p>
            <w:pPr>
              <w:spacing w:after="0"/>
              <w:rPr>
                <w:sz w:val="24"/>
                <w:szCs w:val="24"/>
                <w:color w:val="auto"/>
              </w:rPr>
            </w:pPr>
          </w:p>
        </w:tc>
        <w:tc>
          <w:tcPr>
            <w:tcW w:w="1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Reimbursement for office space, secretarial and administrative services provided to us</w:t>
            </w:r>
          </w:p>
        </w:tc>
      </w:tr>
      <w:tr>
        <w:trPr>
          <w:trHeight w:val="234"/>
        </w:trPr>
        <w:tc>
          <w:tcPr>
            <w:tcW w:w="324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 an affiliate of our sponsor, in the amount of $16,667 per month;</w:t>
            </w:r>
          </w:p>
        </w:tc>
      </w:tr>
      <w:tr>
        <w:trPr>
          <w:trHeight w:val="319"/>
        </w:trPr>
        <w:tc>
          <w:tcPr>
            <w:tcW w:w="3240" w:type="dxa"/>
            <w:vAlign w:val="bottom"/>
            <w:tcBorders>
              <w:left w:val="single" w:sz="8" w:color="auto"/>
            </w:tcBorders>
          </w:tcPr>
          <w:p>
            <w:pPr>
              <w:spacing w:after="0"/>
              <w:rPr>
                <w:sz w:val="24"/>
                <w:szCs w:val="24"/>
                <w:color w:val="auto"/>
              </w:rPr>
            </w:pPr>
          </w:p>
        </w:tc>
        <w:tc>
          <w:tcPr>
            <w:tcW w:w="1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Reimbursement for any out-of-pocket expenses related to identifying, investigating,</w:t>
            </w:r>
          </w:p>
        </w:tc>
      </w:tr>
      <w:tr>
        <w:trPr>
          <w:trHeight w:val="234"/>
        </w:trPr>
        <w:tc>
          <w:tcPr>
            <w:tcW w:w="324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negotiating and completing an initial business combination; and</w:t>
            </w:r>
          </w:p>
        </w:tc>
      </w:tr>
      <w:tr>
        <w:trPr>
          <w:trHeight w:val="319"/>
        </w:trPr>
        <w:tc>
          <w:tcPr>
            <w:tcW w:w="3240" w:type="dxa"/>
            <w:vAlign w:val="bottom"/>
            <w:tcBorders>
              <w:left w:val="single" w:sz="8" w:color="auto"/>
            </w:tcBorders>
          </w:tcPr>
          <w:p>
            <w:pPr>
              <w:spacing w:after="0"/>
              <w:rPr>
                <w:sz w:val="24"/>
                <w:szCs w:val="24"/>
                <w:color w:val="auto"/>
              </w:rPr>
            </w:pPr>
          </w:p>
        </w:tc>
        <w:tc>
          <w:tcPr>
            <w:tcW w:w="1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Repayment of loans which may be made by our sponsor or an affiliate of our sponsor or</w:t>
            </w:r>
          </w:p>
        </w:tc>
      </w:tr>
      <w:tr>
        <w:trPr>
          <w:trHeight w:val="216"/>
        </w:trPr>
        <w:tc>
          <w:tcPr>
            <w:tcW w:w="324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certain of our officers and directors to finance transaction costs in connection with an</w:t>
            </w:r>
          </w:p>
        </w:tc>
      </w:tr>
      <w:tr>
        <w:trPr>
          <w:trHeight w:val="216"/>
        </w:trPr>
        <w:tc>
          <w:tcPr>
            <w:tcW w:w="324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intended initial business combination. Up to $2,000,000 of such loans may be</w:t>
            </w:r>
          </w:p>
        </w:tc>
      </w:tr>
      <w:tr>
        <w:trPr>
          <w:trHeight w:val="216"/>
        </w:trPr>
        <w:tc>
          <w:tcPr>
            <w:tcW w:w="324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convertible into warrants of the post business combination entity at a price of $1.50 per</w:t>
            </w:r>
          </w:p>
        </w:tc>
      </w:tr>
      <w:tr>
        <w:trPr>
          <w:trHeight w:val="216"/>
        </w:trPr>
        <w:tc>
          <w:tcPr>
            <w:tcW w:w="324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 at the option of the lender. The warrants would be identical to the private</w:t>
            </w:r>
          </w:p>
        </w:tc>
      </w:tr>
      <w:tr>
        <w:trPr>
          <w:trHeight w:val="216"/>
        </w:trPr>
        <w:tc>
          <w:tcPr>
            <w:tcW w:w="324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placement warrants. Except for the foregoing, the terms of such loans, if any, have not</w:t>
            </w:r>
          </w:p>
        </w:tc>
      </w:tr>
      <w:tr>
        <w:trPr>
          <w:trHeight w:val="234"/>
        </w:trPr>
        <w:tc>
          <w:tcPr>
            <w:tcW w:w="324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been determined and no written agreements exist with respect to such loans.</w:t>
            </w:r>
          </w:p>
        </w:tc>
      </w:tr>
      <w:tr>
        <w:trPr>
          <w:trHeight w:val="441"/>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Any such payments will be made either (i) prior to our initial business combination using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proceeds of this offering and the sale of the private placement warrants held outside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trust account or from loans made to us by our sponsor or (ii) in connection with or after the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may have additional, fiduciary and contractual duties to other entities, including without</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limitation, Ares and the Ares funds or their current or former portfolio companies. These</w:t>
            </w:r>
          </w:p>
        </w:tc>
      </w:tr>
      <w:tr>
        <w:trPr>
          <w:trHeight w:val="240"/>
        </w:trPr>
        <w:tc>
          <w:tcPr>
            <w:tcW w:w="324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spacing w:after="0"/>
              <w:rPr>
                <w:sz w:val="20"/>
                <w:szCs w:val="20"/>
                <w:color w:val="auto"/>
              </w:rPr>
            </w:pPr>
          </w:p>
        </w:tc>
      </w:tr>
      <w:tr>
        <w:trPr>
          <w:trHeight w:val="604"/>
        </w:trPr>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87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52" w:lineRule="auto"/>
        <w:rPr>
          <w:sz w:val="20"/>
          <w:szCs w:val="20"/>
          <w:color w:val="auto"/>
        </w:rPr>
      </w:pPr>
      <w:r>
        <w:rPr>
          <w:rFonts w:ascii="Times New Roman" w:cs="Times New Roman" w:eastAsia="Times New Roman" w:hAnsi="Times New Roman"/>
          <w:sz w:val="18"/>
          <w:szCs w:val="18"/>
          <w:color w:val="auto"/>
        </w:rPr>
        <w:t>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232"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In addition, 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Any such companies, including AAC,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320" w:top="455"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979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our board of directors will establish and maintain an audit committee composed entirely of independent directors. Among its responsibilities, the audit committee will review on a quarterly basis all payments that were made to our sponsor, officers or directors, or our or their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“Management—Committees of the Board of Directors—Audit Committee.”</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85" w:lineRule="exact"/>
        <w:rPr>
          <w:sz w:val="20"/>
          <w:szCs w:val="20"/>
          <w:color w:val="auto"/>
        </w:rPr>
      </w:pPr>
    </w:p>
    <w:p>
      <w:pPr>
        <w:ind w:left="1240" w:right="2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recently incorporated company with no operating history and no revenues, and you have no basis on which to evaluate our ability to achieve our business objective.</w:t>
      </w:r>
    </w:p>
    <w:p>
      <w:pPr>
        <w:spacing w:after="0" w:line="67" w:lineRule="exact"/>
        <w:rPr>
          <w:rFonts w:ascii="Times New Roman" w:cs="Times New Roman" w:eastAsia="Times New Roman" w:hAnsi="Times New Roman"/>
          <w:sz w:val="18"/>
          <w:szCs w:val="18"/>
          <w:color w:val="auto"/>
        </w:rPr>
      </w:pPr>
    </w:p>
    <w:p>
      <w:pPr>
        <w:jc w:val="both"/>
        <w:ind w:left="1240" w:right="8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performance by Ares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81"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only opportunity to affect the investment decision regarding a potential business combination may be limited to the exercise of your right to redeem your shares from us for cash, unless we seek stockholder approval of such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for shares that they hold for cash may make our financial condition unattractive to potential business combination targets and may make it difficult for us to enter into a business combination with a target.</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may not allow us to complete the most desirable business combination or optimize our capital structure.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85"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67" w:lineRule="exact"/>
        <w:rPr>
          <w:rFonts w:ascii="Times New Roman" w:cs="Times New Roman" w:eastAsia="Times New Roman" w:hAnsi="Times New Roman"/>
          <w:sz w:val="18"/>
          <w:szCs w:val="18"/>
          <w:color w:val="auto"/>
        </w:rPr>
      </w:pPr>
    </w:p>
    <w:p>
      <w:pPr>
        <w:ind w:left="1240" w:right="46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 or warrants.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may delist our securities from trading on its exchange, which could limit investors’ ability to make transactions in our securities and subject us to additional trading restrictions.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entitled to protections normally afforded to investors of many other blank check companies.</w:t>
      </w:r>
    </w:p>
    <w:p>
      <w:pPr>
        <w:spacing w:after="0" w:line="130"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require us to redeem all such shares in excess of 15% of our Class A ordinary shares.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and the significant competition for business combination opportunities, including competition from AAC, we may be unable to complete our initial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w:t>
      </w:r>
    </w:p>
    <w:p>
      <w:pPr>
        <w:spacing w:after="0" w:line="85"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proceeds of this offering and the sale of the private placement warrants not being held in the trust account are insufficient for us to operate for at least the next 24 months, it could limit the amount available to fund our search for a target business or businesses and complete our initial business combination, and we will depend on loans from our sponsor or directors and executive officers to fund our search and to complete our initial business combination.</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will not be entitled to vote on any election of directors we hold prior to our initial business combination.</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incorporated under the laws of the Cayman Islands, you may face difficulties in protecting your interests, and your ability to protect your rights through the U.S. federal courts may be limited.</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90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1890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number of special purpose acquisition companies evaluating targets (including special purpose acquisition companies sponsored by affiliates of Ares (including AAC))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in “Risk Factors” and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60"/>
          </w:cols>
          <w:pgMar w:left="320" w:top="455"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015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2001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together with “Management’s Discussion and Analysis of Financial Condition and Results of Operations” and the audited financial statements and related notes included elsewhere in this prospectus. We have not had any significant operations to date, so only balance sheet data is presented.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19,</w:t>
            </w:r>
          </w:p>
        </w:tc>
      </w:tr>
      <w:tr>
        <w:trPr>
          <w:trHeight w:val="173"/>
        </w:trPr>
        <w:tc>
          <w:tcPr>
            <w:tcW w:w="188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900" w:type="dxa"/>
            <w:vAlign w:val="bottom"/>
          </w:tcPr>
          <w:p>
            <w:pPr>
              <w:spacing w:after="0"/>
              <w:rPr>
                <w:sz w:val="15"/>
                <w:szCs w:val="15"/>
                <w:color w:val="auto"/>
              </w:rPr>
            </w:pPr>
          </w:p>
        </w:tc>
      </w:tr>
      <w:tr>
        <w:trPr>
          <w:trHeight w:val="196"/>
        </w:trPr>
        <w:tc>
          <w:tcPr>
            <w:tcW w:w="1880" w:type="dxa"/>
            <w:vAlign w:val="bottom"/>
          </w:tcPr>
          <w:p>
            <w:pPr>
              <w:spacing w:after="0"/>
              <w:rPr>
                <w:sz w:val="17"/>
                <w:szCs w:val="17"/>
                <w:color w:val="auto"/>
              </w:rPr>
            </w:pPr>
          </w:p>
        </w:tc>
        <w:tc>
          <w:tcPr>
            <w:tcW w:w="2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(deficiency)</w:t>
            </w:r>
          </w:p>
        </w:tc>
        <w:tc>
          <w:tcPr>
            <w:tcW w:w="378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(47,751)</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780" w:type="dxa"/>
            <w:vAlign w:val="bottom"/>
            <w:gridSpan w:val="2"/>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65,466</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78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47,751</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780" w:type="dxa"/>
            <w:vAlign w:val="bottom"/>
            <w:gridSpan w:val="2"/>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17,715</w:t>
            </w:r>
          </w:p>
        </w:tc>
        <w:tc>
          <w:tcPr>
            <w:tcW w:w="1900" w:type="dxa"/>
            <w:vAlign w:val="bottom"/>
          </w:tcPr>
          <w:p>
            <w:pPr>
              <w:spacing w:after="0"/>
              <w:rPr>
                <w:sz w:val="18"/>
                <w:szCs w:val="18"/>
                <w:color w:val="auto"/>
              </w:rPr>
            </w:pPr>
          </w:p>
        </w:tc>
      </w:tr>
      <w:tr>
        <w:trPr>
          <w:trHeight w:val="240"/>
        </w:trPr>
        <w:tc>
          <w:tcPr>
            <w:tcW w:w="1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604"/>
        </w:trPr>
        <w:tc>
          <w:tcPr>
            <w:tcW w:w="1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Initial Business Combination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5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“Proposed Business—Shareholders May Not Have the Ability to Approve Our Initial Business Combination” for additional information.</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require us to redeem your shares for cash, unless we seek shareholder approval of such business combination.</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sponsor, directors and executive officers have agreed (and their permitted transferees will agree) to vote any founder shares and any public shares held by them in favor of our initial business combination. Our sponsor and our directors and executive officers also may from time to time purchase Class A ordinary shares prior to our initial business combination. Our amended and restated memorandum and articles of association will provide that,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including the founder shares. As a result, in addition to our initial shareholders’ founder shares, we would need 32,812,501 or 37.5%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We expect that our initial shareholders and their permitted transferees will own at least 20% of our outstanding ordinary shares at the time of any such shareholder vote. Accordingly, if we seek shareholder approval of our initial business combination, the agreement by our sponsor and each of our directors and executive officers (and their respective permitted transferees) to vote in favor of our initial business combination will increase the likelihood that we will receive the requisite shareholder approval for such initial business combination.</w:t>
      </w:r>
    </w:p>
    <w:p>
      <w:pPr>
        <w:spacing w:after="0" w:line="293"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shareholders to exercise redemption rights for shares that they hold for cash may make our financial condition unattractive to potential business combination targets and may make it difficult for us to enter into a business combination with a target.</w:t>
      </w:r>
    </w:p>
    <w:p>
      <w:pPr>
        <w:spacing w:after="0" w:line="2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seek to enter into a business combination transaction agreement with a prospective target that requires as a closing condition that we have a minimum net worth or a certain amount of cash. If public holders of a substantial portion of our shares were to exercise their redemption rights, we may not be able to meet such closing condition and, as a result, would not be able to proceed with the business combination. Furthermore, to ensure that we do not become subject to the SEC’s penny stock rules,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9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shareholders to exercise redemption rights with respect to a significant portion of our shares may not allow us to complete the most desirable business combination or optimize our capital structure.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These considerations may limit our ability to complete the most attractive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94"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2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our initial business combination agreement requires us to use a portion of the cash in the trust account to pay the purchase price, or requires us to have a minimum amount of cash at closing, the probability that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the redemption until we liquidate or you are able to sell your shares in the open market.</w:t>
      </w:r>
    </w:p>
    <w:p>
      <w:pPr>
        <w:spacing w:after="0" w:line="287"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coronavirus (“COVID-19”) continues both in the U.S. and globally and, while the extent of the impact of the outbreak on us will depend on future developments, such as the duration and scope of the public health emergency and the actions taken by governmental authorities to contain its financial and economic impact, the outbreak of COVID-19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 or warrants.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8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Business—Permitted Purchases of Our Securities” for a description of how our sponsor, directors, executive officers, advisors or any of their affiliates will select which shareholders to purchase securities from in any private transaction.</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warrants and the number of beneficial holders of our securities may be reduced, possibly making it difficult to maintain or obtain the quotation, listing or trading of our securities on a national securities exchange.</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require us to redeem its shares. In addition, the proxy solicitation or tender offer materials, as applicable, that we will furnish to holders of our public shares in connection with our initial business combination will describe the various procedures that must be complied with to validly redeem or tender public shares. In the event that a shareholder fails to comply with these procedures, its shares may not be redeemed. See “Proposed Business—Business Strategy—Tendering Share Certificates in Connection with a Tender Offer or Redemption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require us to redeem all such shares in excess of 15% of our Class A ordinary shares.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require us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to dispose of such shares, would be required to sell your shares in open market transactions, potentially at a loss.</w:t>
      </w:r>
    </w:p>
    <w:p>
      <w:pPr>
        <w:spacing w:after="0" w:line="298"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pandemic and the United States has declared a national emergency and every state in the United States is under a federal disaster declaration. The COVID-19 pandemic has resulted in a widespread health crisis that has resulted in numerous deaths, adversely impacted global commercial activity and contributed to significant volatility in equity and debt markets. The business of any potential target business with which we consummate a business combination could be materially and adversely affected by the COVID-19 pandemic.</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Many countries and states in the United States have issued orders requiring the closure of, or certain restrictions on the operation of, nonessential businesses and/or requiring residents to stay at home. The COVID-19 pandemic and preventative measures taken to contain or mitigate its spread have caused, and are continuing to cause, business shutdowns or the re-introduction of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While several countries, as well as certain states in the United States, have relaxed the public health restrictions with a view to partially or fully reopening their economies, recurring COVID-19 outbreaks could lead to the re-introduction of such restrictions.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including the application and distribution in certain countries of currently available and approved vaccinations,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our ability to consummate a transaction may be dependent on the ability to raise equity and debt financing which may be impacted by COVID-19 and other events.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Because of our limited resources and the significant competition for business combination opportunities, including competition from AAC, we may be unable to complete our initial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expect to encounter intense competition from other entities having a business objective similar to ours, including private investors (which may be individuals or investment partnerships), other blank check companies (including AAC)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Furthermore, we are obligated to offer holders of our public shares the right to require us to redeem their shares for cash at the time of our initial business combination in conjunction with a shareholder vote or via a tender offer. Target companies will be aware that this may reduce the resources available to us for our initial business combination. Any of these limitations and obligations may place us at a competitive disadvantage in successfully negotiating a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 See “Risk Factors— 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299"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If the net proceeds of this offering and the sale of the private placement warrants not being held in the trust account are insufficient for us to operate for at least the next 24 months, it could limit the amount available to fund our search for a target business or businesses and complete our initial business combination, and we will depend on loans from our sponsor or directors and executive officers to fund our search and to complete our initial business combination.</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the net proceeds of this offering and the sale of the private placement warrants, only $2,000,000 will be available to us initially outside the trust account to fund our working capital requirements. We believe that, upon closing of this offering, the funds available to us outside of the trust account, together with funds available from loans from our sponsor, will be sufficient for us to operate for at least the next 24 months; however, our operating and transaction expenses may exceed this amount.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9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the event that our offering expenses exceed our estimate of $3,000,000,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$3,000,000, the amount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directors and executive officers or other third parties to operate or may be forced to liquidate. Neither our sponsor, directors or executive officers nor any of their affiliates is under any obligation to advance funds to us in such circumstances. Any such advances would be repaid only from funds held outside the trust account or from funds released to us upon completion of our initial business combination. Up to $2,000,000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have not completed our initial business combination within 24 months from the closing of this offering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29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These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third-party claims against us, including any regulatory actions successfully made against the trust account. Although, following our initial public offering,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to gain advantage with respect to a claim against our assets, including the funds held in the trust account. If any third party refuses to execute an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waiving such claims to the monies held in the trust account, our directors and executive officers will consider whether competitive alternatives are reasonably available to the company and will only enter into an agreement with such third party that has not executed a waiver if our directors and executive officers believes that such third party’s engagement would be significantly more beneficial to us than any alternative. The underwriters will not execute an agreement with us waiving such claims to the monies held in the trust account.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third party may refuse to execute a waiver in numerous circumstances, such as the engagement of a third-party consultant whose particular expertise or skills are believed by our directors and executive officers to be superior to those of other consultants that would agree to execute a waiver or in cases where our directors and executive officers are unable to retain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provided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93"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each of which may make it difficult for us to complete our initial business combination. In addition, we may have imposed upon us burdensome requirements, including:</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absent our completing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5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Pursuant to an agreement to be entered into concurrently with the issuance and sale of the securities in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not limited to evaluating a target business in a particular industry sector and have not selected any specific target businesses to pursue in our initial business combination, you will not have the opportunity to assess the merits or risks of any particular target business’s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Although we expect to focus our search for a target business in North America, Europe or Asia, we do not currently contemplate targeting a company in the fossil fuel energy industry, including the upstream midstream and energy services sub-sector. We may pursue business combination opportunities in any industry, sector or location,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If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those businesses. Although our officers and directors will endeavor to evaluate the risks inherent in a particular target business, we may not be able to fully assess all of the risks or have adequate time to complete due diligence. Furthermore, some of these risks may be outside of our control and we may be unable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decline in the value of their securities. Such shareholders are unlikely to have a remedy for such reduction in value of their securities.</w:t>
      </w:r>
    </w:p>
    <w:p>
      <w:pPr>
        <w:spacing w:after="0" w:line="30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seek acquisition opportunities in industries or sectors which may or may not be outside of our directors and executive officers’ area of expertise.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consider a business combination outside of our directors and executive officers’ area of expertise if a business combination candidate is presented to us and we determine that such candidate offers an attractive acquisition opportunity for our company. Although our directors and executive officers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acquisition outside of the areas of our directors and executive officers’ expertise, our directors and executive officers’ expertise may not be directly applicable to its evaluation or operation, and the information contained in this prospectus regarding the areas of our directors and executive officers’ expertise would not be relevant to an understanding of the business that we elect to acquire. As a result, our directors and executive officers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 Such shareholders are unlikely to have a remedy for such reduction in value.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8"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2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we complete our initial business combination with an affiliated entity, we are not required to obtain an opinion from an independent accounting firm or independent investment banking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7" w:lineRule="exact"/>
        <w:rPr>
          <w:sz w:val="20"/>
          <w:szCs w:val="20"/>
          <w:color w:val="auto"/>
        </w:rPr>
      </w:pPr>
    </w:p>
    <w:p>
      <w:pPr>
        <w:jc w:val="both"/>
        <w:ind w:left="120" w:right="480"/>
        <w:spacing w:after="0" w:line="262" w:lineRule="auto"/>
        <w:rPr>
          <w:sz w:val="20"/>
          <w:szCs w:val="20"/>
          <w:color w:val="auto"/>
        </w:rPr>
      </w:pPr>
      <w:r>
        <w:rPr>
          <w:rFonts w:ascii="Times New Roman" w:cs="Times New Roman" w:eastAsia="Times New Roman" w:hAnsi="Times New Roman"/>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212,500,000 and 8,125,000 (assuming in each case that the underwriters have not exercised their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may issue a substantial number of additional Class A ordinary shares or preference shares to complete our initial business combination or under an employee incentive plan after completion of our initial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combination. We may also issue Class A ordinary shares to redeem the warrants as described in “Description of Securities—Warrants—Public Shareholders’ Warrants” or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32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Unlike most other similarly structured blank check companies, our sponsor will receive additional Class A ordinary shares if we issue shares to consummate an initial business combination.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 to 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our shares to investors in connection with our initial business combination at a price which is less than the prevailing market price of our shares at that time.</w:t>
      </w:r>
    </w:p>
    <w:p>
      <w:pPr>
        <w:spacing w:after="0" w:line="5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completed, which could materially and adversely affect subsequent attempts to identify and acquire or merge with another business.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and adversely affect subsequent attempts to identify and acquire or merge with another business.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assessment of the management of a target business may be limited, and we may be unable to retain that management following a business combination.</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evaluating a prospective target business, our assessment of the target business’s management may be limited due to a lack of time, resources or information. Should the target business’s management not possess the skills or qualifications necessary to manage a public company or the acquired business, the operations and profitability of the post-combination business may be negatively impacted.</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Although we would expect to retain some or all members of a target business’s management team following our initial business combination, members of the management of a target business may elect to depart. This could negatively affect the operations and profitability of the post-combination business. As a result of any of the foregoing, any shareholders who choose to remain shareholders following the business combination could suffer a decline in the value of their shares.</w:t>
      </w:r>
    </w:p>
    <w:p>
      <w:pPr>
        <w:spacing w:after="0" w:line="284"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Ares may choose not to refer certain opportunities to us due to reputational interests, financial interests, confidentiality concerns, legal, regulatory, tax and any other interests or considerations relevant to Ares, its clients and their respective portfolio companies or because of a potential conflict of interests with AAC.</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Ares, together with its affiliates, engages in a broad range of business activities and invests in a broad range of businesses and assets. Ares takes into account interests of its affiliates, funds and each of their respective portfolio companies (including reputational interests, financial interests, confidentiality concerns, legal, regulatory, tax and any other interests or considerations that arise from time to time) when determining whether to pursue (or how to structure) a potential transaction or investment opportunity. As a result, it is possible that Ares may choose not to refer a business opportunity to us or our officers or directors who are affiliated with Ares may choose not to pursue an opportunity notwithstanding that such opportunity would be attractive to us due to the reputational, financial, confidentiality, legal, regulatory, tax and/or other interests or considerations of Ares and its affiliates. Ares may choose to refer certain opportunities to AAC in the interest of meeting AAC’s time mandate for a business combination.</w:t>
      </w:r>
    </w:p>
    <w:p>
      <w:pPr>
        <w:spacing w:after="0" w:line="27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engage in a business combination with one or more target businesses that have relationships with entities that are affiliated with our sponsor, executive officers, directors or existing holders, which may raise potential conflicts of interest.</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light of the involvement of our sponsor, executive officers and directors with other entities, we may decide to acquire one or more businesses affiliated with our sponsor, executive officers, directors or 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holders. Our directors also serve as officers and board members for other entities, including, without limitation, AAC and those described under “Management—Conflicts of Interest.” Our sponsor, directors and executive officers, Ares, or its affiliates may sponsor, form or participate in other blank check companies similar to ours or may pursue other business or investment ventures during the period in which we are seeking an initial business combination. In addition, funds managed by Ares may have provided debt to companies we pursue and such debt may or may not be paid off in connection with a potential business combination. This can include debt that has been purchased below par but may be required to be repaid at par in connection with such business combination. Although we do not believe that any such potential conflicts would materially affect our ability to complete our initial business combination, any such companies, businesses or investments may present additional conflicts of interest in pursuing an initial business combination and may compete with us for business combination opportunities. Our sponsor, executive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specifically focus on, or target, a transaction with any affiliated entities, we would pursue such a transaction if we determined that such affiliated entity met our criteria for a business combination as set forth in “Proposed Business—Effecting Our Initial Business Combination—Evaluation of a Target Business and Structuring of Our Initial Business Combination” and such transaction was approved by a majority of our independent and disinterested directors. Despite our agreement to obtain an opinion from an independent investment banking firm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297"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sponsor, executive officers and directors will lose their entire investment in us if our initial business combination is not completed (other than with respect to public shares they may acquire during or after this offering), and conflicts of interest may arise in determining whether a particular business combination target is appropriate for our initial business combination.</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which would represent 20% of the outstanding shares upon completion of this offering. Prior to the initial investment in the company of $25,000 by the sponsor, the Company had no assets, tangible or intangible. Up to 3,281,250 founder shares are subject to forfeiture depending on the extent to which the underwriters’ over-allotment option is exercised. The founder shares will be worthless if we do not complete an initial business combination. In addition, our sponsor has committed, pursuant to a written agreement, to purchase an aggregate of 15,000,000 private placement warrants (or 16,750,000 private placement warrants if the underwriters’ over-allotment option is exercised in full), each exercisable to purchase one Class A ordinary share at $11.50 per share, at a price of $1.50 per warrant ($22,500,000 in the aggregate or $25,125,000 if the underwriters’ over-allotment option is exercised in full), in a private placement that will close simultaneously with the closing of this offering. If we do not consummate an initial business within 24 months from the closing of this offering, the private placement warrants will expire worthless. The personal and financial interests of our executive officers and directors may influence them in identifying and selecting a target business combination, completing an initial business combination and operating the business following the initial business combination. This risk may become more acute as the 24-month anniversary of the closing of this offering nears, which is the deadline for our consummation of an initial business combination.</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To complete a business combination, we may issue notes or other debt securities or otherwise incur substantial debt, which may adversely affect our leverage and financial condition and negatively impact the value of our shares.</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following this offering, we may choose to incur substantial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5" w:lineRule="exact"/>
        <w:rPr>
          <w:sz w:val="20"/>
          <w:szCs w:val="20"/>
          <w:color w:val="auto"/>
        </w:rPr>
      </w:pPr>
    </w:p>
    <w:p>
      <w:pPr>
        <w:ind w:left="1080" w:right="5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66"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and the sale of the private placement warrants, which will cause us to be dependent on a single business that may have a limited number of products or services. This lack of diversification may negatively impact our operations and profitability.</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proceeds from this offering and the private placement of warrants will provide us with up to $846,375,000 (or $973,031,250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that we may use to complete our initial business combination (after taking into account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$30,625,000, or $35,218,750 if the over- allotment option is exercised in full, of deferred underwriting commissions being held in the trust account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expenses of this offering).</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The lack of diversification that may result from completing our initial business combination with a single entity may subject us to numerous economic, competitive, geographic and regulatory factors. Further, we would not be able to diversify our operations or benefit from the possible spreading of risks or offsetting of losses, unlike other entities that may have the resources to complete several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combinations in different industries or different areas of a single industry. Accordingly, the prospects for our success may:</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 on the performance of a single business, property or asset;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 on the development or market acceptance of a single or limited number of products, processes or services.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of the foregoing risks could have a substantial adverse impact upon the particular industry in which we may operate following our initial business combination.</w:t>
      </w:r>
    </w:p>
    <w:p>
      <w:pPr>
        <w:spacing w:after="0" w:line="266"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each of such sellers to agree that our purchase of its business is contingent on the simultaneous closings of the other business combinations, which may make it more difficult for us to complete our initial business combination timely or at all.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9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complete our initial business combination with a private company about which little information is available, which may result in a business combination with a company that is not as profitable or attractive as the limited information may have indicated.</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or attractive as the limited information may have indicated.</w:t>
      </w:r>
    </w:p>
    <w:p>
      <w:pPr>
        <w:spacing w:after="0" w:line="284"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and executive officers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67"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company’s shares than we initially acquired. Accordingly, our directors and executive officers may be unable to maintain control of the acquired business.</w:t>
      </w:r>
    </w:p>
    <w:p>
      <w:pPr>
        <w:spacing w:after="0" w:line="266"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With the relatively large amount of proceeds we expect to receive from this offering, we may be more likely to seek business combination opportunities with a high degree of complexity that require significant operational improvements, which could delay or prevent us from achieving our desired results. In addition, such opportunities may present material deal execution risk and have higher pursuit, due diligence and execution costs.</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With the relatively large amount of proceeds we expect to receive from this offering, we may be more likely to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 In addition, pursuing such complex opportunities may present material deal execution risk and have higher pursuit, due diligence and execution costs, which could inhibit or delay our ability to close such transactions.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directors and executive officers will endeavor to evaluate the risks inherent in a particular target business and its operations, we may not be able to fully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we may be unable to control or reduce the chances that those risks and complexities will adversely impact a target business. Such combination may not be as successful as a combination with a smaller, less complex organization.</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required us to redeem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seek an alternate business combination.</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To effectuate an initial business combination, blank check companies have amended various provisions of their charters and other governing instruments, including their warrant agreements. We may seek to amend our amended and restated memorandum and articles of association or governing instruments in a manner that will make it easier for us to complete our initial business combination that some of our shareholders may not support.</w:t>
      </w:r>
    </w:p>
    <w:p>
      <w:pPr>
        <w:spacing w:after="0" w:line="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then-outstanding private placement warrants. In addition, our amended and restated memorandum and articles of association will require us to provide our public shareholders with the opportunity to have their their public shares redeemed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to effectuate our initial business combination.</w:t>
      </w:r>
    </w:p>
    <w:p>
      <w:pPr>
        <w:spacing w:after="0" w:line="2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7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Some blank check companies have a provision in their charters that prohibits the amendment of certain of its provisions, including those relating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provisions of our amended and restated memorandum and articles of association governing the appointment or removal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our initial business combination may only be amended by a special resolution passed by not less than two-thirds of our ordinary shares who attend and vote at our shareholder meeting which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agreements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296"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completed our initial business combination within 24 months from the closing of this offering,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target business. None of our officers, directors or shareholders is required to provide any financing to us in connection with or after our initial business combination.</w:t>
      </w:r>
    </w:p>
    <w:p>
      <w:pPr>
        <w:spacing w:after="0" w:line="26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federal proxy rules require that a proxy statement with respect to a vote on a business combination meeting certain financial significance tests include historical 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generally accepted accounting principles (“GAAP”) in the United States of America, or international financial reporting standards (“IFRS”) as issued by the International Accounting Standards Board, depending on the circumstances and the historical financial statements may be required to be audited in accordance with the standards of the Public Company Accounting Oversight Board (“PCAOB”) in the United States).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292"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96"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6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7" w:lineRule="exact"/>
        <w:rPr>
          <w:sz w:val="20"/>
          <w:szCs w:val="20"/>
          <w:color w:val="auto"/>
        </w:rPr>
      </w:pPr>
    </w:p>
    <w:p>
      <w:pPr>
        <w:ind w:left="5540" w:right="452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 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or delisting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wars;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and catastrophic events such as fires, floods, earthquakes, tornadoes, hurricanes and pandemics,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As the number of special purpose acquisition companies evaluating targets (including special purpose acquisition companies sponsored by affiliates of Ares (including AAC))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(including special purpose acquisition companies sponsored by affiliates of Ares (including AAC))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rate fluctuations and currency policies may cause a target business’ ability to succeed in the international markets to be diminished.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3"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We may engage one or more of our underwriters or one of their respective affiliates to provide additional services to us after this offering, which may include acting as financial advisor in connection with an initial business combination or as placement agent in connection with a related financing transaction. Our underwriters are entitled to receive deferred commissions that will released from the trust only on a completion of an initial business combination.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7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engage one or more of our underwriters or one of their respective affiliates to provide additional services to us after this offering,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provided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FINRA determines that such payment would not be deemed underwriters’ compensation in connection with this offering. The underwriters are also entitled to receive deferred commissions that are conditioned on the completion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an initial business combination.</w:t>
      </w:r>
    </w:p>
    <w:p>
      <w:pPr>
        <w:spacing w:after="0" w:line="280"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market for directors and officers liability insurance could make it more difficult and more expensive for us to negotiate and complete an initial business combination.</w:t>
      </w:r>
    </w:p>
    <w:p>
      <w:pPr>
        <w:spacing w:after="0" w:line="51"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upon our executive officers and directors and their loss could adversely affect our ability to operate.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officers and directors, who are employed by an affiliate of our sponsor,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AAC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 We do not have an employment agreement with, or key-man insurance on the life of, any of our directors or executive officers.</w:t>
      </w:r>
    </w:p>
    <w:p>
      <w:pPr>
        <w:spacing w:after="0" w:line="192"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addition, if any of our executive officers ceased to be employed by an affiliate of our sponsor, such individual may also no longer serve as one of our executive officers. The unexpected loss of the services of one or more of our directors or executive officers could have a detrimental effect on us.</w:t>
      </w:r>
    </w:p>
    <w:p>
      <w:pPr>
        <w:spacing w:after="0" w:line="244" w:lineRule="exact"/>
        <w:rPr>
          <w:sz w:val="20"/>
          <w:szCs w:val="20"/>
          <w:color w:val="auto"/>
        </w:rPr>
      </w:pPr>
    </w:p>
    <w:p>
      <w:pPr>
        <w:jc w:val="both"/>
        <w:ind w:left="120" w:right="420"/>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effectuate our initial business combination and to successfully operate thereafter will depend on our key personnel, some of whom may join us following our initial business combination. The loss of, or inability to attract, key personnel could negatively impact the operations and profitability of our post-combination business.</w:t>
      </w:r>
    </w:p>
    <w:p>
      <w:pPr>
        <w:spacing w:after="0" w:line="6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ability to effectuate our initial business combination depends on the diligence, skill, judgment, business contacts and personal reputations of our key personnel. Our future success will depend upon our ability to retain our current key personnel and to recruit additional qualified personnel. If any of our key personnel join competitors or from competing companies, we may be unable to complete our initial business combination. We do not carry any “key person” insurance that would provide us with proceeds in the event of the death or disability of any of our key personnel.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it will be necessary for us to add key personnel to complete our initial business combination or operate our post-combination business. However, the market for qualified professionals is extremely competitive and we may not succeed in recruiting additional personnel or we may fail to effectively replace current personnel who depart with qualified or effective successors.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failure to appropriately address conflicts of interest could adversely affect our business and reputation.</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will seek to identify and combine with one or more businesses. Certain of our officers and directors have, and any of them in the future may have, additional fiduciary or contractual obligations to other entities pursuant to which they are or will be required to present a business combination opportunity to such entity, subject to their fiduciary duties under Cayman Islands law.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In addition, certain of our officers and directors 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also officers, managers or directors of Ares and certain of its affiliated funds and investment vehicles, and certain of their current or former portfolio companies. Some of these entities have limited partners or public equity holders to whom these individuals owe fiduciary duties. Accordingly, conflicts of interest may arise in determining the allocation of specific investment opportunities among Ares, its funds and investment vehicles, and us and the allocation of fees and costs among these entities. These conflicts may not be resolved in our favor and a potential target business may be presented to another entity prior to its presentation to us, subject to their fiduciary duties under Cayman Islands law.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directors and officers or Ares or its affiliates may in the future become affiliated with other blank check companies that may have acquisition objectives that are similar to ours. Accordingly, conflicts of interest may arise in determining the allocation of specific investment opportunities to any such companies and us and the allocation of fees and costs among these entities.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Any such companies, including AAC, may present additional conflicts of interest in pursuing an acquisition target, particularly if there is overlap among investment mandates and the board and management teams.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Though we believe we and Ares have appropriate means and oversight to resolve the foregoing conflicts, our judgment on any particular decision could be challenged. If we fail to appropriately address any such conflicts, it could negatively impact our reputation and ability to raise additional funds and the willingness of counterparties to do business with us or result in potential litigation against us.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executive officers’ and directors’ business affiliations and the potential conflicts of interest that you should be aware of, please see “Management—Officers, Directors and Director Nominees,” “Management—Conflicts of Interest” and “Certain Relationships and Related Party Transactions.”</w:t>
      </w:r>
    </w:p>
    <w:p>
      <w:pPr>
        <w:spacing w:after="0" w:line="280" w:lineRule="exact"/>
        <w:rPr>
          <w:sz w:val="20"/>
          <w:szCs w:val="20"/>
          <w:color w:val="auto"/>
        </w:rPr>
      </w:pPr>
    </w:p>
    <w:p>
      <w:pPr>
        <w:jc w:val="both"/>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and directors will allocate their time to other businesses, which could have a negative impact on our ability to complete our initial business combination.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executive officers and directors are not required to, and will not, commit their full professional time to our affairs, which may result in conflicts of interest in allocating their time between our operations and identifying a potential acquisition target and their other professional responsibilities.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Chief Executive Officer, Chief Financial Officer, Chief Operating Officer and Executive Vice President of Strategy serve in those roles for AAC. Our independent directors may also serve as officers or board members for other entities. Our independent directors also serve as, and may in the future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“Management—Officers, Directors and Director Nominees.”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5"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have or will have direct and indirect economic interests in us and/or our sponsor after the consummation of this offering and such interests may potentially conflict with those of our public shareholders as we evaluate and decide whether to recommend a potential business combination to our public shareholders.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of our officers and directors may own membership interests in our sponsor and indirect interests in our Class B ordinary shares and private placement warrants which may result in interests that differ from the economic interests of the investors in this offering, which includes making a determination of whether a particular target business is an appropriate business with which to effectuate our initial business combination. There may be a potential conflict of interest between our officers and directors that hold membership interests in our sponsor and our public shareholders that may not be resolved in favor of our public shareholders. See “Management—Conflicts of Interest.”</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Although it is not our intention, we may enter into a business combination with a target business that is affiliated with our sponsor, or one or more of our directors or executive officers or in which they have a direct or indirect pecuniary or financial interest.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them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This could give rise to claim by us or our shareholders for a breach of their fiduciary duties to us as a matter of Cayman Islands law. See the section titled “Description of Securities—Certain Differences in Corporate Law—Shareholders’ Suits” for further information on the ability to bring such claims. However, we may not ultimately be successful in any claim we may make against them.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Compliance with United States securities laws may require additional time and resources.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our initial business combination, our directors and executive officers may resign from their positions as officers or directors of the company and the management of the target business at the time of the business combination may remain in place. Management of the target business may not be familiar with United States securities laws, compliance with which may place a strain on our systems and resources. If our directors and executive officers are not able to develop the necessary expertise, procedures and processes, we may be unable to report our financial information on a timely or accurate basis, which could subject us to adverse regulatory consequences, including sanctions by the Commission or violations of applicable NYSE listing rules. There could also be a negative reaction in the financial markets due to a loss of investor confidence in us and the reliability of our financial statements. Confidence in the reliability of our financial statements could also suffer if our independent registered public accounting firm were to report a material weakness in our internal controls over financial reporting. This could have a material adverse effect on us and lead to a decline in the price of our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public shareholders will be entitled to receive funds from the trust account only upon the earlier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our Class A ordinary shares, and (iii) the redemption of our public shares if we have not consummated an initial business within 24 months from the closing of this offering, subject to applicable law and as further described herein. Public shareholders who elect to have their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within 24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NYSE may delist our securities from trading on its exchange, which could limit investors’ ability to make transactions in our securities and subject us to additional trading restrictions.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intend to apply to have our units listed on the NYSE on the date of this prospectus and to have our Class A ordinary shares and warrants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units will not be traded after completion of our initial business combination and, in connection with our initial business combination, we will be required to demonstrate compliance with the NYSE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initial listing requirements, which are more rigorous than the NYSE continued listing requirements, to continue to maintain the listing of our securities on the NYSE.</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instance,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312"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paid a nominal price for the founder shares, and, accordingly, you will experience immediate and substantial dilution from the purchase of our Class A ordinary shares.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As a result of various transactions, our sponsor (together with its permitted transferees) currently holds an aggregate of 25,156,250 Class B ordinary shares, which would represent 20% of the outstanding shares upon completion of this offering. Upon closing of this offering, and assuming no value is ascribed to the warrants included in the units, you and the other public shareholders will incur an immediate and substantial dilution of approximately 98.3% (or $9.83 per share, assuming no exercise of the underwriters’ over-allotment option), the difference between the pro forma net tangible book value per share of $0.17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94"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w:t>
      </w:r>
    </w:p>
    <w:p>
      <w:pPr>
        <w:spacing w:after="0" w:line="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50% of the number of the then-outstanding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93"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may redeem your unexpired warrants prior to their exercise at a time that is disadvantageous to you, thereby making your warrants worthless.</w:t>
      </w:r>
    </w:p>
    <w:p>
      <w:pPr>
        <w:spacing w:after="0" w:line="5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We have the ability to redeem outstanding warrants at any time after they become exercisable and prior to their expiration, at a price of $0.01 per warrant,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“Description of Securities—Warrants—Public Shareholders’ Warrants—Anti-Dilution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w:t>
      </w:r>
    </w:p>
    <w:p>
      <w:pPr>
        <w:ind w:left="120" w:right="20" w:hanging="4"/>
        <w:spacing w:after="0" w:line="253"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Except as otherwise set forth herein, none of the private placement warrants will be redeemable by us (except as described below under “Description of Securities —Warrants—Public Shareholders’ Warrants—Redemption of warrants when the price per Class A ordinary share equals or exceeds $10.00”) so long as they are held by our sponsor or its permitted transferees.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the ability to redeem the outstanding public warrants at any time after they become exercisable and prior to their expiration, at a price of $0.10 per warrant upon a minimum of 30 days’ prior written notice of redemption, provided that (a) the closing price of our Class A ordinary shares equals or exceeds $10.00 per share (as adjusted for adjustments to the number of shares issuable upon exercise or the exercise price of a warrant as described under the heading “Description of Securities—Warrants—Public Shareholders’ Warrants—Anti-Dilution Adjustments”) for any 20 trading days within a 30 trading-day period ending on the third trading day prior to proper notice of such redemption and (b) certain other conditions are met, including that holders will be able to exercise their warrants prior to redemption for a number of Class A ordinary shares determined based on the redemption date and the fair market value of our Class A ordinary shares. Please see “Description of Securities—Warrants—Public Shareholders’ Warrants—Redemption of warrants when the price per Class 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us as (except as set forth under “Description of Securities—Warrants—Public Shareholders’ Warrants—Redemption of warrants when the price per Class A ordinary share equals or exceeds $10.00”) so long as they are held by our sponsor or its permitted transferees.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warrants may have an adverse effect on the market price of our Class A ordinary shares and make it more difficult to effectuate our initial business combination.</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be issuing warrants to purchase 17,500,000 of our Class A ordinary shares (or up to 20,125,000 Class A ordinary shares if the underwriters’ over-allotment option is exercised in full) as part of the units offered by this prospectus and, simultaneously with the closing of this offering, we will be issuing in a private placement an aggregate of 15,000,000 private placement warrants (or 16,750,000 private placement warrants if the underwriters’ over-allotment option is exercised in full), each exercisable to purchase one Class A ordinary share at $11.50 per share, subject to adjustment. In addition, if our sponsor makes any working capital loans, it may convert up to $2,000,000 of such loans into up to an additional 1,333,333 private placement warrants, at the price of $1.50 per warrant.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issue Class A ordinary shares in connection with our redemption of our warrants.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Because each unit contains one-fifth of one warrant and only a whole warrant may be exercised, the units may be worth less than units of other blank check companies.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unit contains one-fifth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similar offerings whose units include one ordinary share and one warrant to purchase one whole share. We have established the components of the units in this way to reduce the dilutive effect of the warrants upon completion of a business combination since the warrants will be exercisable in the aggregate for one fifth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 to consummate an initial business combination.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Unlike most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Securities—Warrants—Public Shareholders’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Shareholders’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our directors and executive officers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8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directors and executive officers and their experience in identifying operating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controls a substantial interest in us and thus may exert a substantial influence on actions requiring a shareholder vote, potentially in a manner that you do not support.</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Upon closing of this offering, our sponsor will (together with its permitted transferees)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shareholder meeting to elect new directors prior to the completion of our initial business combination, in which case all of the current directors will continue in office until at least the completion of the business combination. If there is an annual shareholder meeting, as a consequence of our “staggered” board of directors, only a minority of the board of directors will be considered for election and our sponsor, will control the outcome. In addition, prior to the completion of an initial business combination, holders of a majority of our founder shares may remove a member of the board of directors for any reason. Accordingly, our sponsor will continue to exert control at least until the completion of our initial business combination.</w:t>
      </w:r>
    </w:p>
    <w:p>
      <w:pPr>
        <w:spacing w:after="0" w:line="30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280" w:lineRule="exact"/>
        <w:rPr>
          <w:sz w:val="20"/>
          <w:szCs w:val="20"/>
          <w:color w:val="auto"/>
        </w:rPr>
      </w:pPr>
    </w:p>
    <w:p>
      <w:pPr>
        <w:jc w:val="both"/>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directors and executive officers, members of the board of directors or controlling shareholders than they would as public shareholders of a United States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our directors and may discourage transactions that otherwise could involve payment of a premium over prevailing market prices for our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investment in this offering may result in uncertain or adverse U.S. federal income tax consequences.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one-fifth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98"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8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includes a majority of “independent directors,” as defined under the rules of the NYSE;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of our board that is comprised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For example, the cost of such legal action may be deemed by the independent directors to be too high relative to the amount recoverable. If our independent directors choose not to enforce these indemnification obligations, the amount of funds in the trust account available for distribution to our public shareholders may be reduced below $10.00 per share.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have sufficient funds to satisfy indemnification claims of our directors and executive officers.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2"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If, after we distribute the proceeds in the trust account to our public shareholders, we file a bankruptcy or winding up petition or an involuntary bankruptcy or winding up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or winding up petition or an involuntary bankruptcy or winding up petition is filed against us that is not dismissed, any distributions received by shareholders could be viewed under applicable debtor/creditor or bankruptcy or insolvency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or having acted in bad faith, thereby exposing itself and us to claims of punitive damages, by paying public shareholders from the trust account prior to addressing the claims of creditors.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If, before distributing the proceeds in the trust account to our public shareholders, we file a bankruptcy or winding-up petition or an involuntary bankruptcy or winding-up petition is filed against us and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or winding-up petition or an involuntary bankruptcy or winding-up petition is filed against us and is not dismissed,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proceeds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have not consummated an initial business combination within 24 months from the closing of this offering, our public shareholders may be forced to wait beyond such 24 months before redemption from our trust account.</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or amend certain provisions of our amended and restated memorandum and articles of association prior thereto and only then in cases where investors have sought to require us to redeem their Class A ordinary shares. Only upon our redemption or any liquidation will public shareholders be entitled to distributions if we have not completed our initial business combination and have not amended certain provisions of our amended and restated memorandum and articles of association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99"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be held liable for claims by third parties against us to the extent of distributions received by them upon redemption of their shares.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were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or as having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$18,293 and imprisonment for five years in the Cayman Islands.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hold an annual shareholder meeting until after the consummation of our initial business combination.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to elect directors. Until we hold 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annual shareholder meeting,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shareholder meeting) serving a three-year term.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Class A ordinary shares will not be entitled to vote on any election of directors we hold prior to our initial business combination.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84"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in which case, the number of Class A ordinary shares that you will receive upon cashless exercise will be based on a formula subject to a maximum amount of shares equal to 0.361 Class A ordinary shares per warrant (subject to adjustment).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warrants are expected to be accounted for as derivative liabilities and will be recorded at fair value upon issuance with changes in fair value for each period reported in earnings, which may have an adverse effect on the market price of our Class A common stock or may make it more difficult for us to consummate an initial business combination.</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Following consummation of this offering and the concurrent issuance of the private placement of warrants to our sponsor, we expect to account for the 32,500,000 warrants to be issued in connection with this offering (comprised of the 17,500,000 warrants included in the units and the 15,000,000 private placement warrants, assuming the underwriters’ over-allotment option is not exercised) in accordance with the guidance contained in ASC</w:t>
      </w:r>
    </w:p>
    <w:p>
      <w:pPr>
        <w:spacing w:after="0" w:line="2"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815-40. Such guidance provides that because the warrants do not meet the criteria for equity treatment thereunder, each warrant must be recorded as a liability. Accordingly, we expect to classify each of the warrants as a liability at its fair value upon as determined by us based upon valuation report obtained from an independent third party valuation firm. At each reporting period (1) the accounting treatment of the warrants will be re-evaluated for proper accounting treatment as a liability or equity and (2) the fair value of the liability of the public and private warrants will be remeasured and the change in the fair value of the liability will be recorded as other income (expense) in our income statement. Changes in the inputs and assumptions for the valuation model we use to determine the fair value of such liability may have a material impact on the estimated fair value of the embedded derivative liability. The share price of our Class A common stock represents the primary underlying variable that impacts the value of the derivative instruments. Additional factors that impact the value of the derivative instruments include the volatility of our stock price, discount rates and stated interest rates. As a result, our consolidated financial statements and results of operations will fluctuate quarterly, based on various factors, such as the share price of our Class A common stock, many of which are outside of our control. In addition, we may change the underlying assumptions used in our valuation model, which could in result in significant fluctuations in our results of operations. If our stock price is volatile, we expect that we will recognize noncash gains or losses on our warrants or any other similar derivative instruments each reporting period and that the amount of such gains or losses could be material. The impact of changes in fair value on earnings may have an adverse effect on the market price of our Class A common stock. In addition, potential targets may seek a blank check company that does not have warrants that are accounted for as a warrant liability, which may make it more difficult for us to consummate an initial business combination with a target business.</w:t>
      </w:r>
    </w:p>
    <w:p>
      <w:pPr>
        <w:spacing w:after="0" w:line="295"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w:t>
      </w:r>
    </w:p>
    <w:p>
      <w:pPr>
        <w:spacing w:after="0" w:line="29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color w:val="auto"/>
        </w:rPr>
        <w:t>The warrants may become exercisable and redeemable for a security other than the Class A ordinary shares, and there is no information regarding such other security at this time.</w:t>
      </w:r>
    </w:p>
    <w:p>
      <w:pPr>
        <w:spacing w:after="0" w:line="5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including if we are not the surviving entity in our initial business combination, the warrants may become exercisable for a security other than the Class A ordinary shares. As a result, if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surviving company redeems your warrants for securities pursuant to the warrant agreement, you may receive a security in a company for which there is no information at this time.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a passive foreign investment company (“PFIC”), which could result in adverse U.S. federal income tax consequences to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captioned “Taxation—United States Federal Income Tax Considerations—General”)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“Taxation—United States Federal Income Tax Considerations—U.S.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(and if the start-up exception may be applicable, potentially not until after the two taxable years following).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“Taxation—United States Federal Income Tax Considerations—U.S. Holders—Passive Foreign Investment Company Rules.”</w:t>
      </w:r>
    </w:p>
    <w:p>
      <w:pPr>
        <w:spacing w:after="0" w:line="30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such reincorporation may result in taxes imposed on shareholders or warrant holders.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(or may otherwise result in adverse tax consequences).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291"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2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in the trust account could bear a negative rate of interest, which could reduce the value of the assets held in trust such that the per-share redemption amount received by public shareholders may be less than $10.00 per share.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not released to us, net of taxes payable. Negative interest rates could impact the per-share redemption amount that may be received by public shareholders. In addition, we are allowed to remove permitted withdrawals to pay our taxes; this means that even with a positive interest rate, most or all of the interest income may be withdrawn by us and not be available to fund our business combination or to be returned to investors upon a redemption.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are a recently incorporated company with no operating history and no revenues, and you have no basis on which to evaluate our ability to achieve our business objective.</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Past performance by Ares, </w:t>
      </w:r>
      <w:r>
        <w:rPr>
          <w:rFonts w:ascii="Times New Roman" w:cs="Times New Roman" w:eastAsia="Times New Roman" w:hAnsi="Times New Roman"/>
          <w:sz w:val="18"/>
          <w:szCs w:val="18"/>
          <w:b w:val="1"/>
          <w:bCs w:val="1"/>
          <w:i w:val="1"/>
          <w:iCs w:val="1"/>
          <w:color w:val="auto"/>
        </w:rPr>
        <w:t>AAC</w:t>
      </w:r>
      <w:r>
        <w:rPr>
          <w:rFonts w:ascii="Times New Roman" w:cs="Times New Roman" w:eastAsia="Times New Roman" w:hAnsi="Times New Roman"/>
          <w:sz w:val="18"/>
          <w:szCs w:val="18"/>
          <w:b w:val="1"/>
          <w:bCs w:val="1"/>
          <w:color w:val="auto"/>
        </w:rPr>
        <w:t>,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67"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Ares, AAC, its affiliates or our directors and executive officers is presented for informational purposes only. Any past experience and performance of Ares or its affiliates or our directors and executive officers is not a guarantee either: (1) that we will be able to successfully identify a suitable candidate for our initial business combination; or (2) of any results with respect to any initial business combination we may consummate. You should not rely on the historical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record of Ares, AAC, its affiliates or our directors and executive officers’ performance as indicative of the future performance of an investment in us, including whether we can provide an attractive return to our shareholders, or as indicative of every prior investment by our directors and executive officers. Ares and our directors and executive officers have had limited experience with blank check companies and special purpose acquisition companies. The market price of our securities may be influenced by numerous factors, many of which are beyond our control, and our shareholders may experience losses on their investment in our securities.</w:t>
      </w:r>
    </w:p>
    <w:p>
      <w:pPr>
        <w:spacing w:after="0" w:line="28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Cybersecurity risks and cyber incidents could adversely affect our business by causing a disruption to our operations, a compromise or corruption of our confidential information and confidential information in our possession and/or damage to our business relationships, any of which could negatively impact our business, financial condition and operating results.</w:t>
      </w:r>
    </w:p>
    <w:p>
      <w:pPr>
        <w:spacing w:after="0" w:line="6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 our sponsor and its affiliates face increasingly frequent and sophisticated cyber and security threats, with attacks ranging from those common to businesses generally to those that are more advanced and persistent, which may target us because we are affiliated with an alternative asset management firm and may hold confidential and other price sensitive information about existing and potential investments. We depend on digital technologies, including information systems, infrastructure and cloud applications and services, including those of Ares and its third party vendors, and other third parties. Cyber attacks and other security threats could originate from a wide variety of sources, including cyber criminals, nation state hackers, hacktivists and other outside parties. As a result, we may face a heightened risk of a security breach or disruption with respect to sensitive information resulting from an attack by computer hackers, foreign governments or cyber terrorists.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is dependent on computer hardware and software systems, as well as data processing systems and the secure processing, storage and transmission of information, which are vulnerable to security breaches and cyber incidents.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In addition, we and our employees may be the target of fraudulent emails or other targeted attempts to gain unauthorized access to proprietary or sensitive information. The result of these incidents may include disrupted operations, misstated or unreliable financial data, increased cybersecurity protection and insurance costs, litigation and damage to our business relationships. Any processes, procedures and internal controls we may implement to mitigate cybersecurity risks and cyber intrusions, as well as our increased awareness of the nature and extent of a risk of a cyber-incident, will not guarantee that a cyber-incident will not occur or that our financial results, operations or confidential information will not be negatively impacted by such an incident, especially because the cyber-incident techniques change frequently or are not recognized until launched and because cyber-incidents can originate from a wide variety of sources. We may not have sufficient funding and resources to comply with evolving cybersecurity regulations and to continually monitor and enhance our cybersecurity procedures and controls.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Some of the statements contained in this prospectus may constitute “forward-looking statements” within the meaning of Section 27A of the Securities Act of 1933, as amended (the “Securities Act”), and Section 21E of the Securities Exchange Act of 1934, as amended (the “Exchange Act”) which reflect our current views with respect to, among other things, future events, operations and financial performance. . Our forward-looking statements include, but are not limited to, statements regarding our or our directors and executive officers’ expectations, hopes, beliefs, intentions or strategies regarding the future. You can identify these forward-looking statements by the use of forward-looking words such as “outlook,” “believes,” “expects,” “potential,” “continues,” “may,” “will,” “should,” “seeks,” “approximately,” “predicts,” “intends,” “plans,” “estimates,” “anticipates”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and uncertainties and assumptions relating to our operations, financial results, financial condition, business prospects, growth strategy and liquidity. Forward-looking statements in this prospectus may include, for example, statements about:</w:t>
      </w:r>
    </w:p>
    <w:p>
      <w:pPr>
        <w:spacing w:after="0" w:line="82"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 and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the recent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business combination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not being subject to claims of third parties;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and other cautionary statements that are included in this report.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offering 87,500,000 units at an offering price of $10.00 per unit. We estimate that the net proceeds of this offering, together with the funds we will receive from the sale of the private placement warrants, will be used as set forth in the following table: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 from units offered to public</w:t>
            </w:r>
            <w:r>
              <w:rPr>
                <w:rFonts w:ascii="Times New Roman" w:cs="Times New Roman" w:eastAsia="Times New Roman" w:hAnsi="Times New Roman"/>
                <w:sz w:val="15"/>
                <w:szCs w:val="15"/>
                <w:color w:val="auto"/>
              </w:rPr>
              <w:t>(1)</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$875,000,000</w:t>
            </w:r>
          </w:p>
        </w:tc>
        <w:tc>
          <w:tcPr>
            <w:tcW w:w="5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1,006,250,000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 proceeds from private placement warrants offered in the private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25,125,000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gross proceeds</w:t>
            </w:r>
          </w:p>
        </w:tc>
        <w:tc>
          <w:tcPr>
            <w:tcW w:w="140" w:type="dxa"/>
            <w:vAlign w:val="bottom"/>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897,500,000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1,031,375,000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commissions (2.0% of gross proceeds from units offered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excluding deferred portion)</w:t>
            </w:r>
            <w:r>
              <w:rPr>
                <w:rFonts w:ascii="Times New Roman" w:cs="Times New Roman" w:eastAsia="Times New Roman" w:hAnsi="Times New Roman"/>
                <w:sz w:val="15"/>
                <w:szCs w:val="15"/>
                <w:color w:val="auto"/>
              </w:rPr>
              <w:t>(3)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5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20,125,000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SEC/FINRA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road show</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&amp; Officer liability insurance premiums</w:t>
            </w:r>
            <w:r>
              <w:rPr>
                <w:rFonts w:ascii="Times New Roman" w:cs="Times New Roman" w:eastAsia="Times New Roman" w:hAnsi="Times New Roman"/>
                <w:sz w:val="15"/>
                <w:szCs w:val="15"/>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1,648,780</w:t>
            </w:r>
          </w:p>
        </w:tc>
        <w:tc>
          <w:tcPr>
            <w:tcW w:w="5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1,648,780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offering expenses (other than underwriting discounts)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Proceeds after offering expenses</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877,000,000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1,008,250,000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 account</w:t>
            </w:r>
            <w:r>
              <w:rPr>
                <w:rFonts w:ascii="Times New Roman" w:cs="Times New Roman" w:eastAsia="Times New Roman" w:hAnsi="Times New Roman"/>
                <w:sz w:val="15"/>
                <w:szCs w:val="15"/>
                <w:color w:val="auto"/>
              </w:rPr>
              <w:t>(3)</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1,006,250,000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 of public offering size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held in trust account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8"/>
          </w:tcPr>
          <w:p>
            <w:pPr>
              <w:jc w:val="right"/>
              <w:ind w:right="1040"/>
              <w:spacing w:after="0"/>
              <w:rPr>
                <w:sz w:val="20"/>
                <w:szCs w:val="20"/>
                <w:color w:val="auto"/>
              </w:rPr>
            </w:pPr>
            <w:r>
              <w:rPr>
                <w:rFonts w:ascii="Times New Roman" w:cs="Times New Roman" w:eastAsia="Times New Roman" w:hAnsi="Times New Roman"/>
                <w:sz w:val="18"/>
                <w:szCs w:val="18"/>
                <w:color w:val="auto"/>
                <w:w w:val="99"/>
              </w:rPr>
              <w:t>The following table shows the use of the $2,000,000 of net proceeds not held in the trust account.</w:t>
            </w:r>
            <w:r>
              <w:rPr>
                <w:rFonts w:ascii="Times New Roman" w:cs="Times New Roman" w:eastAsia="Times New Roman" w:hAnsi="Times New Roman"/>
                <w:sz w:val="15"/>
                <w:szCs w:val="15"/>
                <w:color w:val="auto"/>
                <w:w w:val="99"/>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61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Legal, accounting, due diligence, travel, and other expenses in connection with any</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w:t>
            </w:r>
            <w:r>
              <w:rPr>
                <w:rFonts w:ascii="Times New Roman" w:cs="Times New Roman" w:eastAsia="Times New Roman" w:hAnsi="Times New Roman"/>
                <w:sz w:val="15"/>
                <w:szCs w:val="15"/>
                <w:color w:val="auto"/>
              </w:rPr>
              <w:t>(6)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related to regulatory reporting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office space, administrative and support services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NYSE continued listing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payable to public shareholders who properly elect to redeem their shares in connection with our successful completion of our initial business combination.</w:t>
      </w:r>
    </w:p>
    <w:p>
      <w:pPr>
        <w:ind w:left="540" w:right="6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will be paid from the proceeds of loans from our sponsor of up to $300,000 as described in this prospectus. As of March 19, 2021, no amounts are outstanding under the</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60"/>
          </w:cols>
          <w:pgMar w:left="320" w:top="455"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promissory 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sz w:val="20"/>
          <w:szCs w:val="20"/>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agreed to defer underwriting commissions of 3.5% of the gross proceeds of this offering. Upon and concurrently with the completion of our initial business combination, $30,625,000, which constitutes the underwriters’ deferred commissions (or $35,218,750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annualized director and officer liability insurance premiums we anticipate paying following the completion of this offering and until we complete a business combination.</w:t>
      </w: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$875,000 per year; however, we can provide no assurances regarding this amount.</w:t>
      </w:r>
    </w:p>
    <w:p>
      <w:pPr>
        <w:spacing w:after="0" w:line="4" w:lineRule="exact"/>
        <w:rPr>
          <w:rFonts w:ascii="Times New Roman" w:cs="Times New Roman" w:eastAsia="Times New Roman" w:hAnsi="Times New Roman"/>
          <w:sz w:val="18"/>
          <w:szCs w:val="18"/>
          <w:color w:val="auto"/>
        </w:rPr>
      </w:pPr>
    </w:p>
    <w:p>
      <w:pPr>
        <w:ind w:left="540" w:right="76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amounts that may also be used in connection with our initial business combination to fund a “no shop” provision and commitment fees for financing.</w:t>
      </w:r>
    </w:p>
    <w:p>
      <w:pPr>
        <w:spacing w:after="0" w:line="18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Of the $897,500,000 in proceeds we receive from this offering and the sale of the private placement warrants described in this prospectus, or $1,031,375,000 if the underwriters’ over-allotment option is exercised in full, $875,000,000 ($10.00 per unit), or $1,006,250,000 if the underwriters’ over-allotment option is exercised in full ($10.00 per unit), will be deposited into a trust account with Continental Stock Transfer &amp; Trust Company acting as trustee, and $22,500,000, or $25,125,000 if the underwriters’ over-allotment option is exercised in full,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that would modify the substance or timing of our obligation to provide holders of our Class A ordinary shares the right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directors or executive officers or any of their affiliates, but such persons are not under any obligation to advance funds to, or invest in, us.</w:t>
      </w:r>
    </w:p>
    <w:p>
      <w:pPr>
        <w:spacing w:after="0" w:line="187"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will reimburse an affiliate of our sponsor for office space, secretarial and administrative services provided to our directors and executive officers, in the amount of $16,667 per month. Upon completion of our initial business combination or our liquidation, we will cease paying these monthly fees.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of this offering, our sponsor has agreed to loan us up to $300,000 to be used for a portion of the expenses of this offering. As of March 19, 2021, no amounts are outstanding under the promissory note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$2,000,000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March 19, 2021, our net tangible book deficit was $(47,751), or approximately $(0.00) per ordinary share. After giving effect to the sale of 87,500,000 Class A ordinary shares included in the units we are offering by this prospectus (or 100,625,000 Class A ordinary shares if the underwriters’ over-allotment option is exercised in full), the sale of the private placement warrants and the deduction of underwriting commissions and estimated expenses of this offering, our pro forma net tangible book value at March 19, 2021 would have been $5,000,002 or $0.17 per share (or $5,000,003 or $0.15 per share if the underwriters’ over-allotment option is exercised in full), representing an immediate increase in net tangible book value (as decreased by the value of 79,397,650 Class A ordinary shares that may be redeemed for cash, or 91,425,360 Class A ordinary shares if the underwriters’ over-allotment option is exercised in full) of $0.17 per share (or $0.15 per share if the underwriters’ over-allotment option is exercised in full) to our sponsor as of the date of this prospectus and an immediate dilution to public shareholders from this offering of $10.00 per share. Total dilution to public shareholders from this offering will be $9.83 per share (or $9.85 if the underwriters’ over-allotment option is exercised in full).</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With</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7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public shareholders</w:t>
            </w:r>
          </w:p>
        </w:tc>
        <w:tc>
          <w:tcPr>
            <w:tcW w:w="13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$ 0.17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$ 0.15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placement warrants</w:t>
            </w: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0.17</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public shareholders</w:t>
            </w: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9.83</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public shareholders</w:t>
            </w: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98.3%</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For purposes of presentation, we have reduced our pro forma net tangible book value after this offering (assuming no exercise of the underwriters’ over-allotment option) by $793,976,500 because holders of up to approximately 90.7% of our public shares may elect to have their shares redeemed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sponsor and the public shareholders: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00" w:type="dxa"/>
            <w:vAlign w:val="bottom"/>
            <w:vMerge w:val="restart"/>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79"/>
        </w:trPr>
        <w:tc>
          <w:tcPr>
            <w:tcW w:w="528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5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spacing w:after="0"/>
              <w:rPr>
                <w:sz w:val="4"/>
                <w:szCs w:val="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vMerge w:val="restart"/>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r>
              <w:rPr>
                <w:rFonts w:ascii="Times New Roman" w:cs="Times New Roman" w:eastAsia="Times New Roman" w:hAnsi="Times New Roman"/>
                <w:sz w:val="15"/>
                <w:szCs w:val="15"/>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875,000,000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99.997%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10.000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875,025,000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3,281,250 Class B ordinary shares held by our sponsor.</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 forma net tangible book value per share after the offering (assuming that the underwriters do not exercise their over-allotment option) is calculated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0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With</w:t>
            </w:r>
          </w:p>
        </w:tc>
      </w:tr>
      <w:tr>
        <w:trPr>
          <w:trHeight w:val="173"/>
        </w:trPr>
        <w:tc>
          <w:tcPr>
            <w:tcW w:w="5420" w:type="dxa"/>
            <w:vAlign w:val="bottom"/>
          </w:tcPr>
          <w:p>
            <w:pPr>
              <w:spacing w:after="0"/>
              <w:rPr>
                <w:sz w:val="15"/>
                <w:szCs w:val="15"/>
                <w:color w:val="auto"/>
              </w:rPr>
            </w:pPr>
          </w:p>
        </w:tc>
        <w:tc>
          <w:tcPr>
            <w:tcW w:w="17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(47,751)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(47,751)</w:t>
            </w: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this offering and sale of the private placement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877,000,000</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1,008,250,000</w:t>
            </w: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paid in advance, excluded from tangible book</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before this offering</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65,466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65,466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Warrant liability</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(47,416,213)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(53,795,363)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underwriting commissions</w:t>
            </w:r>
          </w:p>
        </w:tc>
        <w:tc>
          <w:tcPr>
            <w:tcW w:w="100" w:type="dxa"/>
            <w:vAlign w:val="bottom"/>
          </w:tcPr>
          <w:p>
            <w:pPr>
              <w:spacing w:after="0"/>
              <w:rPr>
                <w:sz w:val="18"/>
                <w:szCs w:val="18"/>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(30,625,000)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(35,218,750)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redemption</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(793,976,500)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(914,253,600)</w:t>
            </w:r>
          </w:p>
        </w:tc>
      </w:tr>
      <w:tr>
        <w:trPr>
          <w:trHeight w:val="223"/>
        </w:trPr>
        <w:tc>
          <w:tcPr>
            <w:tcW w:w="5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5,000,003</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 prior to this offering</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25,156,250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25,156,250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forfeited if over-allotment is not exercised</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(3,281,250)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included in the units offered</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87,500,000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100,625,000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Ordinary shares subject to redemption</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(79,397,650)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(91,425,360)</w:t>
            </w:r>
          </w:p>
        </w:tc>
      </w:tr>
      <w:tr>
        <w:trPr>
          <w:trHeight w:val="223"/>
        </w:trPr>
        <w:tc>
          <w:tcPr>
            <w:tcW w:w="5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29,977,350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34,355,890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applied against gross proceeds include offering expenses of $3,000,000 and underwriting commissions of $17,500,000 or $20,125,000 if the underwriters exercise their over-allotment option (excluding deferred underwriting fees). See “Use of Proceeds.”</w:t>
      </w:r>
    </w:p>
    <w:p>
      <w:pPr>
        <w:ind w:left="540" w:right="40" w:hanging="424"/>
        <w:spacing w:after="0" w:line="25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Effecting Our Initial Business Combination—Permitted Purchases of Our Securities.”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March 19, 2021,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19, 2021</w:t>
            </w: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Actual</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related party</w:t>
            </w:r>
            <w:r>
              <w:rPr>
                <w:rFonts w:ascii="Times New Roman" w:cs="Times New Roman" w:eastAsia="Times New Roman" w:hAnsi="Times New Roman"/>
                <w:sz w:val="15"/>
                <w:szCs w:val="15"/>
                <w:color w:val="auto"/>
              </w:rPr>
              <w:t>(2)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r>
              <w:rPr>
                <w:rFonts w:ascii="Times New Roman" w:cs="Times New Roman" w:eastAsia="Times New Roman" w:hAnsi="Times New Roman"/>
                <w:sz w:val="15"/>
                <w:szCs w:val="15"/>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47,416,213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30,625,000</w:t>
            </w:r>
          </w:p>
        </w:tc>
        <w:tc>
          <w:tcPr>
            <w:tcW w:w="120" w:type="dxa"/>
            <w:vAlign w:val="bottom"/>
            <w:shd w:val="clear" w:color="auto" w:fill="CCEEFF"/>
          </w:tcPr>
          <w:p>
            <w:pPr>
              <w:spacing w:after="0"/>
              <w:rPr>
                <w:sz w:val="18"/>
                <w:szCs w:val="18"/>
                <w:color w:val="auto"/>
              </w:rPr>
            </w:pPr>
          </w:p>
        </w:tc>
      </w:tr>
      <w:tr>
        <w:trPr>
          <w:trHeight w:val="205"/>
        </w:trPr>
        <w:tc>
          <w:tcPr>
            <w:tcW w:w="6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actual and</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0 and 79,397,650 Class A ordinary shares are subject to possible redemption,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actual and adjusted,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793,976,500</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preference shares authorized, actual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0 preference shares issued and outstanding, actual and as adjusted</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actual and as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0 and 8,102,350 issued and outstanding (excluding 0 and 79,397,650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 actual and as adjusted, respectively</w:t>
            </w:r>
            <w:r>
              <w:rPr>
                <w:rFonts w:ascii="Times New Roman" w:cs="Times New Roman" w:eastAsia="Times New Roman" w:hAnsi="Times New Roman"/>
                <w:sz w:val="15"/>
                <w:szCs w:val="15"/>
                <w:color w:val="auto"/>
              </w:rPr>
              <w:t>(4)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30,000,000 shares authorized actual and as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25,156,250 and 21,875,000 Class B ordinary shares issued and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and as adjusted,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22,484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6,466,577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(1,469,573)</w:t>
            </w:r>
          </w:p>
        </w:tc>
      </w:tr>
      <w:tr>
        <w:trPr>
          <w:trHeight w:val="230"/>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17,715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17,715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877,017,715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3,281,250 Class B ordinary shares held by our sponsor.</w:t>
      </w:r>
    </w:p>
    <w:p>
      <w:pPr>
        <w:ind w:left="540" w:right="1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agreed to loan us up to $300,000 to be used for a portion of the expenses of this offering. As of March 19, 2021, no amounts are outstanding under the promissory note with our sponsor.</w:t>
      </w: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account for the 32,500,000 warrants to be issued in connection with this offering (17,500,000 warrants included in the units, assuming the underwriters’ over-allotment option is not exercised, and 15,000,000 private placement warrants) in accordance with the guidance contained in ASC 815-40. Such guidance provides that because the warrants do not meet the criteria for equity treatment thereunder, each warrant must be recorded as a liability at its fair value. Such warrant classification is also subject to re-evaluation at each reporting period.</w:t>
      </w:r>
    </w:p>
    <w:p>
      <w:pPr>
        <w:spacing w:after="0" w:line="1" w:lineRule="exact"/>
        <w:rPr>
          <w:rFonts w:ascii="Times New Roman" w:cs="Times New Roman" w:eastAsia="Times New Roman" w:hAnsi="Times New Roman"/>
          <w:sz w:val="18"/>
          <w:szCs w:val="18"/>
          <w:color w:val="auto"/>
        </w:rPr>
      </w:pPr>
    </w:p>
    <w:p>
      <w:pPr>
        <w:ind w:left="540" w:right="200" w:hanging="424"/>
        <w:spacing w:after="0" w:line="25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require us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The issuance of additional shares in a business combination:</w:t>
      </w:r>
    </w:p>
    <w:p>
      <w:pPr>
        <w:spacing w:after="0" w:line="85" w:lineRule="exact"/>
        <w:rPr>
          <w:sz w:val="20"/>
          <w:szCs w:val="20"/>
          <w:color w:val="auto"/>
        </w:rPr>
      </w:pPr>
    </w:p>
    <w:p>
      <w:pPr>
        <w:ind w:left="1080" w:right="1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it could result in:</w:t>
      </w:r>
    </w:p>
    <w:p>
      <w:pPr>
        <w:spacing w:after="0" w:line="131" w:lineRule="exact"/>
        <w:rPr>
          <w:sz w:val="20"/>
          <w:szCs w:val="20"/>
          <w:color w:val="auto"/>
        </w:rPr>
      </w:pPr>
    </w:p>
    <w:p>
      <w:pPr>
        <w:ind w:left="1080" w:right="5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March 19, 2021, we had no cash and deferred offering costs of approximately $65,466. Further, we expect to incur significant costs in the pursuit of our initial business combination. We cannot assure you that our plans to raise capital or to complete our initial business combination will be successful.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liquidity needs have been satisfied prior to the completion of this offering through receipt of (i) a $25,000 capital contribution from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in exchange for the issuance of the founder shares to our sponsor and (ii) and loans to us of up to $300,000 by our sponsor under an unsecured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promissory note. As of March 19, 2021, no amounts are outstanding under the unsecured promissory note. We estimate that the net proceeds from (i)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 of the units in this offering, after deducting offering expenses of $3,000,000, underwriting commissions of $17,500,000, or $20,125,000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(excluding deferred underwriting commissions of $30,625,000, or $35,218,750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and (ii) the sale of the private placement warrants for a purchase price of $22,500,000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$25,125,000 if the underwriters’ over-allotment option is exercised in full) will be $877,000,000 (or $1,008,250,000 if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is exercised in full). $875,000,000 (or $1,006,250,000 if the underwriters’ over-allotment option is exercised in full) will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which includes the deferred underwriting commissions described above. The proceeds held in the trust account will be invested only in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treasury obligations with a maturity of 185 days or less or in money market funds meeting certain conditions under Rule 2a-7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Company Act which invest only in direct U.S. government treasury obligations. The remaining $2,000,000 will not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In the event that our offering expenses exceed our estimate of $3,000,000, we may fund such excess with funds not to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In such case, the amount of funds we intend to be held outside the trust account would decrease by a corresponding amount. Conversely,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that the offering expenses are less than our estimate of $3,000,000, the amount of funds we intend to be held outside the trust account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by a corresponding amount.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we will have available to us the $2,000,000 of proceeds held outside the trust account, as well as certain funds from loans from our sponsor. We will use these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7"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$1,160,000 for legal, accounting, due diligence, travel and other expenses associated with structuring, negotiating and documenting successful business combinations; $175,000 for legal and accounting fees related to regulatory reporting requirements; $400,000 for office space, administrative and support services; $165,000 for NYSE continued listing fees; and $100,000 for general working capital that will be used for miscellaneous expenses and reserves.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completed our initial business combination within 24 months from the closing of this offering because we do not have sufficient funds available to us, we will be forced to cease operations and liquidate the trust account.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 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March 19, 2021,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55"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do not currently contemplate targeting a company in the fossil fuel energy industry, including the upstream, midstream and energy services sub-sectors, and we intend to focus our search in North America, Europe or Asia. We will pursue an initial business combination with an established business with scale, attractive growth prospects and sustainable competitive advantages. We believe there is a large universe of such businesses that could benefit from a public listing, and that we will be able to offer a differentiated and compelling value proposition to them.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$197 billion of assets under management and approximately 1,450 employees in over 25 global offices as of December 31, 2020. Ares operates integrated groups across Credit, Private Equity, Real Estate and Strategic Initiatives and offers its investors a range of investment strategies and seeks to deliver attractive performance to a growing investor base that includes over 1,090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AAC, that completed its initial public offering on February 4, 2021. AAC has not yet announced an initial business combination.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December 31, 2020, had $27.4 billion of AUM. The Private Equity Group broadly categorizes its investment activities into four strategies: Corporate Private Equity, Infrastructure and Power, Special Opportunities and Energy Opportunities. Ares Private Equity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Ares Corporate Private Equity strategy team is organized in teams of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110 investment professionals on a global basis. In Ares Corporate Private Equity strategy, Ares pursues four principal transaction types: prudently leveraged control buyouts, growth equity, rescue/deleveraging capital and distressed buyouts/discounted debt accumulation.</w:t>
      </w:r>
    </w:p>
    <w:p>
      <w:pPr>
        <w:spacing w:after="0" w:line="16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$145.5 billion of AUM and over 200 funds as of December 31, 2020.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 across the U.S. and European markets. Additionally, it provides investors access to directly originated fixed and floating rate credit assets and with the ability to capitalize on illiquidity premiums across the credit spectrum.</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Within the Ares Credit Group, Ares’ Direct Lending strategy is one of the largest self-originating direct lenders to the U.S. and European markets, with $98.8 billion of AUM as of December 31, 2020.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210 investment professionals as of December 31, 2020. The team covers more than 800 financial sponsors and provides a wide range of financing solutions to middle-market companies that typically range from $10 to $250 million in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7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David B. Kaplan serves as Chief Executive Officer and is Co-Chairman of the board of directors of AAC II. Mr. Kaplan is a Co-Founder of Ares, a Director and Partner of Ares Management Corporation, Co-Chairman of the Ares Private Equity Group and Chief Executive Officer and Co-Chairman of AAC. He is a member of the Ares Executive Management Committee. He additionally serves on the Ares Private Equity Group’s Corporate Opportunities, Asia Private Equity and Special Opportunities Investment Committees.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 Mr. Kaplan graduated with High Distinction, Beta Gamma Sigma, from the University of Michigan, School of Business Administration with a B.B.A. concentrating in Finance.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and Co-Chairman of AAC. He is a member of the Ares Executive Management Committee. He additionally serves as Co-Chairman of ARCC and as a director of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 communities through education and empowerment. He is additionally a member of the PATH Organization Leadership Council. Mr. Arougheti received a B.A. in Ethics, Politics and Economics, cum laude, from Yale University.</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“Risk Factors—Past performance by Ares or its affiliates, 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between such officers and the company may or does exist, please refer to “Management—Conflicts of Interest.”</w:t>
      </w:r>
    </w:p>
    <w:p>
      <w:pPr>
        <w:spacing w:after="0" w:line="18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AAC completed its initial public offering in February 2021, in which it sold 87,000,000 units each consisting of one Class A ordinary share and one-fifth of one warrant, with each whole warrant entitling the holder thereof to purchase one Class A ordinary share for an offering price of $10.00 per unit. AAC consummated the sale of an additional 13,000,000 Class A ordinary shares units pursuant to the underwriters’ partial exercise of their over-allotment option at a price of $10.00 per unit, generating total gross proceeds of approximately $1 billion. AAC has not yet announced an initial business combination. Mr. Kaplan serves as Chief Executive Officer, Mr. Phillips serves as Chief Financial Officer, Ms. Satin serves as Chief Operating</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Officer and Mr. Ogilvie serves as Executive Vice President of Strategy of AAC. Mr. Kaplan and Mr. Arougheti serve as Co-Chairmen of AAC’s board of directors. We believe that we will benefit from the valuable experience gained by our management team during the launch and operation of AAC, including the process of evaluating numerous target companies and industry sectors.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the current environment offers a compelling market opportunity to raise a SPAC of meaningful scale. During 2020 there were 248 SPAC IPOs for total proceeds of approximately $83 billion, which was nearly six times that of prior years. In 2021, there have been 315 SPAC IPOs. Current trends in financial markets, including reduced volatility and strong market sentiment, mean that SPACs remain a compelling strategic alternative for companies seeking a public listing. While becoming a publicly listed company provides significant benefits, companies have been electing to remain private longer for various reasons, including the complexities of the traditional IPO process as well as its inherent uncertainty for the companies pursuing it. This dynamic has helped mold the current market opportunity for SPACs by generating a meaningful backlog of potential IPO candidates. Over the last five years, more than 100 companies filed an S-1 and ultimately did not pursue public listings. Today, SPACs have become a widespread strategic alternative for businesses desiring to access the public markets with a higher degree of certainty and speed, with 117 so-called de-SPAC transactions completed in comparison to 114 traditional IPOs in 2021, and an average of 46 de-SPAC business combinations per year from 2018 through 2020.</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Although we may pursue an acquisition opportunity in any business industry or sector, we do not currently contemplate targeting a company in the fossil fuel energy industry, including the upstream, midstream and energy services sub-sectors.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89" w:lineRule="exact"/>
        <w:rPr>
          <w:sz w:val="20"/>
          <w:szCs w:val="20"/>
          <w:color w:val="auto"/>
        </w:rPr>
      </w:pPr>
    </w:p>
    <w:p>
      <w:pPr>
        <w:ind w:left="1080" w:right="20" w:hanging="424"/>
        <w:spacing w:after="0" w:line="25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$197 billion in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525 investment professionals across more than 25 offices as of December 31, 2020. This has the potential to create meaningful advantages to source attractive transactions across various investment strategies. Ares promotes collaboration amongst its investment professionals to share ideas and information across the groups, which further enables it to effectively source, evaluate and manage investments. Ares believes 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90"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 cross-source for other investment groups generates a robust pipeline of high-quality investment opportunities across its platform. Ares has active investments in over ~2,800 portfolio companies and over 1,090 institutional investors. Additionally, Ares’ relationship network includes over 800 global private equity sponsor relationships for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 differentiates its origination capabilities. AAC II is expected to benefit from Ares’ broad market presence, which has the potential to drive deal flow and allow for asset selectivity.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approximately 55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 transaction.</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NYSE and certain of its subsidiaries act as the external manager for three publicly-traded investment vehicles. Furthermore, Ares’ publicly traded entities and their affiliates, including ARCC, ACRE and ARDC, account for approximately $21.9 billion of AUM as of December 31, 2020 and have a long track record as fiduciaries of capital for over 610 institutional investors and over 200,000 retail investor accounts. We believe Ares’ prior experience, combined with its robust public investor relations capabilities, will benefit AAC II following a business combination.</w:t>
      </w:r>
    </w:p>
    <w:p>
      <w:pPr>
        <w:spacing w:after="0" w:line="9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can prepare and support a target’s successful operation in the public markets. Additionally, Ares has a dedicated team focused on ESG factors that can further enhance AAC II’s impact for various stakeholders.</w:t>
      </w:r>
    </w:p>
    <w:p>
      <w:pPr>
        <w:spacing w:after="0" w:line="88"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over 1,090 institutional investor relationships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280 funds, as of December 31, 2020. Ares’ high-quality institutional investor base includes large pension funds, sovereign wealth funds, banks and insurance companies. Additionally, Ares has very strong relationships with many leading commercial and investment banks globally and a track record of successfully accessing the capital markets.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and the Ares funds is not a guarantee either (i) that we will be able to identify a suitable candidate for our initial business combination or (ii) of success with respect to any business combination we may consummate. You should not rely on the historical record of Ares’s, the Ares funds’ or our management’s performance as indicative of our future performance. An investment in us is not an investment in the Ares funds.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5540" w:right="3500" w:hanging="4884"/>
        <w:spacing w:after="0" w:line="454" w:lineRule="auto"/>
        <w:tabs>
          <w:tab w:leader="none" w:pos="10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 95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 However, we do not currently contemplate targeting a company in the fossil fuel energy industry, including the upstream, midstream and energy services sub-sectors.</w:t>
      </w:r>
    </w:p>
    <w:p>
      <w:pPr>
        <w:spacing w:after="0" w:line="162"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will benefit from the same approach as we pursue our initial business combination.</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either an independent investment banking firm or an independent accounting firm.</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the amount of deferred underwriting discounts held in the trust account and taxes payable on the income earned on the trust account) at the time of signing the agreement to enter into the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investment banking firm or an independent accounting firm.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the relative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we effect our initial business combination with a company or business that is financially unstable or in its early stages of development or growth, we may be affected by numerous risks inherent in such company or business. Although our directors and executive officers will endeavor to evaluate the risks inherent in a particular target business, we cannot assure you that we will fully ascertain or assess all significant risk factors.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 which we may desire to pursue. However, we have not selected any business combination target and we have not, nor has anyone on our behalf, initiated any substantive discussions, directly or indirectly, with any business combination target.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Any such companies, including AAC,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offices are located at 245 Park Avenue, 44th Floor, New York, New York 10167, and our telephone number is (212) 750-7300.</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funds available for a business combination initially in the amount of $846,375,000, after payment of the estimated expenses of this offering and $30,625,000 of deferred underwriting fees (or $973,031,250 after payment of $35,218,750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target business,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directors and executive officers will assess the risks inherent in a particular target business with which we may combine, we cannot assure you that this assessment will result in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process of identifying acquisition targets will leverage Ares’ and our directors and executive officers’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Ares and our directors and executive officers, combined with their individual and collective reputations in the investment community, will help to create prospective business combination opportunities.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market participants and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While we do not presently anticipate engaging the services of professional firms or other individuals that specialize in business acquisitions on any formal basis, we may engage these firms, including one of the underwriters or one of their respective affiliates, or other individuals in the future, in which event we may pay a finder’s fee, consulting fee or other compensation to be determined in an arm’s length negotiation based on the terms of the transaction. In addition, the underwriters may provide these services without additional compensation. We will formally engage a finder only to the extent our directors and executive officers determines that the use of a finder may bring opportunities to us that may not otherwise be available to us or if finders approach us on an unsolicited basis with a potential transaction that our directors and executive officers determine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to effectuate, the completion of our initial business combination (regardless of the type of transaction that it is). We have agreed to pay an affiliate of our sponsor a total of $16,667 per month for office space, utilities and secretarial and administrative support and to reimburse our sponsor for any out-of-pocket expenses related to identifying, investigating and completing an initial business combination. Some of our officers and directors may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enter into employment or consulting agreements with the post-business combination company following our initial business combination. The presence or absence of any such fees or arrangements will not be used as a criterion in our selection process of a target business.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an independent accounting firm, that such an initial business combination is fair to our company from a financial point of view. We are not required to obtain such an opinion in any other context.</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a Target Business and Structuring of Our Initial Business Combination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company will not pay any consulting fees to our directors and executive officers, or any of their respective affiliates, for services rendered to or in connection with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5" w:lineRule="exact"/>
        <w:rPr>
          <w:sz w:val="20"/>
          <w:szCs w:val="20"/>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our directors and executive officers, if any, in the target business cannot presently be stated with any certainty. The determination as to whether any of our directors and executive officers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our directors and executive officers will have significant experience or knowledge relating to the operations of the particular target business.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May Not Have the Ability to Approve Our Initial Business Combination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rules, shareholder approval would be required for our initial business combination if, for example:</w:t>
      </w:r>
    </w:p>
    <w:p>
      <w:pPr>
        <w:spacing w:after="0" w:line="131" w:lineRule="exact"/>
        <w:rPr>
          <w:sz w:val="20"/>
          <w:szCs w:val="20"/>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ordinary shares that will be equal to or in excess of 20% of the number of our ordinary shares then outstanding (other than in a public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 (as defined by the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holding a shareholder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shareholders would fail to approve the proposed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time and budget constraints of the company; and</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complexities of a proposed business combination that would be time-consuming and burdensome to present to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have their shares redeemed.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officers, directors 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have their shares redeemed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sponsor, officers, directors 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elect to redeem their shares will not be reduced by the deferred underwriting commissions we will pay to the underwriters. The redemption rights will include the requirement that a beneficial holder must identify itself before we can validly redeem its shares. There will be no redemption rights upon the completion of our initial business combination with respect to our warrants. Our sponsor and each of our directors and executive officers have entered into an agreement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Redemptions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9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held a shareholder vote to approve our initial business combination, we will, pursuant to our amended and restated memorandum and articles of association:</w:t>
      </w:r>
    </w:p>
    <w:p>
      <w:pPr>
        <w:spacing w:after="0" w:line="67" w:lineRule="exact"/>
        <w:rPr>
          <w:sz w:val="20"/>
          <w:szCs w:val="20"/>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 such case, our sponsor has agreed to vote its founder shares and any public shares purchased during or after this offering in favor of our initial business combination. As a result, in addition to our sponsor’s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Each public shareholder may elect to have their public shares redeemed irrespective of whether they vote for or against the proposed transaction. In addition, our sponsor and each of our directors and executive officers have entered into an agreement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(A) that would modify the substance or timing of our obligation to provide holders of our Class A ordinary shares the right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Shareholder Approval</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directors and executive officers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directors and executive officers at a premium to the then-current market price or on other undesirable terms. By limiting our shareholders’ ability to require us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However, we would not be restricting our shareholders’ ability to vote all of their shares (including Excess Shares) for or against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Tendering Share Certificates in Connection with a Tender Offer or Redemption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Public shareholders seeking to exercise their redemption rights, whether they are record holders or hold their shares in “street name,” will be required to either tender their certificates (if any) to our transfer agent prior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before we can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foregoing is different from the procedures used by many blank check companies.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require us to redeem is irrevocable once the business combination is approved.</w:t>
      </w:r>
    </w:p>
    <w:p>
      <w:pPr>
        <w:spacing w:after="0" w:line="194"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require us to redeem their shares will be distributed promptly after the completion of our initial business combination.</w:t>
      </w:r>
    </w:p>
    <w:p>
      <w:pPr>
        <w:spacing w:after="0" w:line="16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shareholders who elected to exercise their redemption rights would not be entitled to require us to redeem their shares for the applicable pro rata share of the trust account. In such case, we will promptly return any certificates delivered by public holders who elected to require us to redeem their shares.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our initial proposed business combination is not completed, we may continue to try to complete a business combination with a different target until 24 months from the closing of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24 months from the closing of this offering to consummate an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require us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9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$2,000,000 of proceeds held outside the trust account plus up to $100,000 of funds from the trust account available to us to pay dissolution expenses, although we cannot assure you that there will be sufficient funds for such purpose.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were to expend all of the net proceeds of this offering and the sale of the private placement warrants, other than the proceeds deposited in the trust account, and without taking into account interest, if any, earned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8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Although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to gain an advantage with respect to a claim against our assets, including the funds held in the trust account. If any third party refuses to execute an agreement waiving such claims to the monies held in the trust account, our directors and executive officers will consider whether competitive alternatives are reasonably available to the company and will only enter into an agreement with a third party that has not executed a waiver if our directors and executive officers believe that such third party’s engagement would be in the best interest of the company given the circumstances. Examples of possible instances where we may engage a third party that refuses to execute a waiver include the engagement of a third party consultant whose particular expertise or skills are believed by our directors and executive officers to be significantly superior to those of other consultants that would agree to execute a waiver or in cases where our directors and executive officers are unable to find a service provider willing to execute a waiver. The representatives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For example, the cost of such legal action may be deemed by the independent directors to be too high relative to the amount recoverable. Accordingly, we cannot assure you that due to claims of creditors the actual value of the per-share redemption price will not be less than $10.00 per share.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material vendors, service providers (except for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$2,000,000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$3,000,000,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$3,000,000, the amount of funds we intend to be held outside the trust account would increase by a corresponding amount.</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if they redeem their respective shares for cash upon the completion of the initial business combination. Public shareholders who elect to have their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within 24 months from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closing of this offering, with respect to such Class A ordinary shares so redeemed. In no other circumstances will a shareholder have any right or interest of any kind to or in the trust account. 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A shareholder’s voting in connection with the business combination alone will not result in a shareholder’s requiring us to redeem its shares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5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c>
          <w:tcPr>
            <w:tcW w:w="0" w:type="dxa"/>
            <w:vAlign w:val="bottom"/>
          </w:tcPr>
          <w:p>
            <w:pPr>
              <w:spacing w:after="0"/>
              <w:rPr>
                <w:sz w:val="1"/>
                <w:szCs w:val="1"/>
                <w:color w:val="auto"/>
              </w:rPr>
            </w:pPr>
          </w:p>
        </w:tc>
      </w:tr>
      <w:tr>
        <w:trPr>
          <w:trHeight w:val="18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Calculation of redemption price</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initial business combination may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 made pursuant to a tender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 will be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same whether we conduct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In either case,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our public shareholders may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require us to redeem their public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shares for cash equal to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then 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deposit in the trust account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calculated as of two business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days prior to the consummation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the initial business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anticipated to be $10.00 per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 including interest earned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on the funds held in the trust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account and not previously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released to us to pay our income</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Other Permitted</w:t>
      </w:r>
    </w:p>
    <w:p>
      <w:pPr>
        <w:jc w:val="center"/>
        <w:ind w:left="-59"/>
        <w:spacing w:after="0" w:line="229" w:lineRule="auto"/>
        <w:rPr>
          <w:sz w:val="20"/>
          <w:szCs w:val="20"/>
          <w:color w:val="auto"/>
        </w:rPr>
      </w:pPr>
      <w:r>
        <w:rPr>
          <w:rFonts w:ascii="Times New Roman" w:cs="Times New Roman" w:eastAsia="Times New Roman" w:hAnsi="Times New Roman"/>
          <w:sz w:val="14"/>
          <w:szCs w:val="14"/>
          <w:b w:val="1"/>
          <w:bCs w:val="1"/>
          <w:color w:val="auto"/>
        </w:rPr>
        <w:t>Purchases of</w:t>
      </w:r>
    </w:p>
    <w:p>
      <w:pPr>
        <w:jc w:val="center"/>
        <w:ind w:left="-59"/>
        <w:spacing w:after="0" w:line="221" w:lineRule="auto"/>
        <w:rPr>
          <w:sz w:val="20"/>
          <w:szCs w:val="20"/>
          <w:color w:val="auto"/>
        </w:rPr>
      </w:pPr>
      <w:r>
        <w:rPr>
          <w:rFonts w:ascii="Times New Roman" w:cs="Times New Roman" w:eastAsia="Times New Roman" w:hAnsi="Times New Roman"/>
          <w:sz w:val="14"/>
          <w:szCs w:val="14"/>
          <w:b w:val="1"/>
          <w:bCs w:val="1"/>
          <w:color w:val="auto"/>
        </w:rPr>
        <w:t>Public Shares</w:t>
      </w:r>
    </w:p>
    <w:p>
      <w:pPr>
        <w:spacing w:after="0" w:line="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534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ectPr>
          <w:pgSz w:w="11900" w:h="16838" w:orient="portrait"/>
          <w:cols w:equalWidth="0" w:num="3">
            <w:col w:w="6040" w:space="220"/>
            <w:col w:w="2360" w:space="200"/>
            <w:col w:w="2320"/>
          </w:cols>
          <w:pgMar w:left="320" w:top="455" w:right="4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w:t>
            </w:r>
          </w:p>
        </w:tc>
      </w:tr>
      <w:tr>
        <w:trPr>
          <w:trHeight w:val="148"/>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r>
      <w:tr>
        <w:trPr>
          <w:trHeight w:val="149"/>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r>
      <w:tr>
        <w:trPr>
          <w:trHeight w:val="187"/>
        </w:trPr>
        <w:tc>
          <w:tcPr>
            <w:tcW w:w="35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191"/>
        </w:trPr>
        <w:tc>
          <w:tcPr>
            <w:tcW w:w="3500" w:type="dxa"/>
            <w:vAlign w:val="bottom"/>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if any, divided by the number of</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 then-outstanding public</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the limitation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that no redemptions will take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place if all of the redemptions</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would cause our net tangible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assets to be less than $5,000,001</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and any limitations (including</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but not limited to cash</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agreed to in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the negotiation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terms of a proposed business</w:t>
            </w: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w:t>
            </w:r>
          </w:p>
        </w:tc>
      </w:tr>
      <w:tr>
        <w:trPr>
          <w:trHeight w:val="30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to remaining shareholders</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 redemptions in connection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with our initial business</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will reduce the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for our</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9"/>
              </w:rPr>
              <w:t>remaining shareholders, who will</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bear the burden of the deferred</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commissions and</w:t>
            </w: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Other Permitted</w:t>
      </w:r>
    </w:p>
    <w:p>
      <w:pPr>
        <w:jc w:val="center"/>
        <w:ind w:left="-19"/>
        <w:spacing w:after="0" w:line="229" w:lineRule="auto"/>
        <w:rPr>
          <w:sz w:val="20"/>
          <w:szCs w:val="20"/>
          <w:color w:val="auto"/>
        </w:rPr>
      </w:pPr>
      <w:r>
        <w:rPr>
          <w:rFonts w:ascii="Times New Roman" w:cs="Times New Roman" w:eastAsia="Times New Roman" w:hAnsi="Times New Roman"/>
          <w:sz w:val="14"/>
          <w:szCs w:val="14"/>
          <w:b w:val="1"/>
          <w:bCs w:val="1"/>
          <w:color w:val="auto"/>
        </w:rPr>
        <w:t>Purchases of</w:t>
      </w:r>
    </w:p>
    <w:p>
      <w:pPr>
        <w:jc w:val="center"/>
        <w:ind w:left="-19"/>
        <w:spacing w:after="0" w:line="221" w:lineRule="auto"/>
        <w:rPr>
          <w:sz w:val="20"/>
          <w:szCs w:val="20"/>
          <w:color w:val="auto"/>
        </w:rPr>
      </w:pPr>
      <w:r>
        <w:rPr>
          <w:rFonts w:ascii="Times New Roman" w:cs="Times New Roman" w:eastAsia="Times New Roman" w:hAnsi="Times New Roman"/>
          <w:sz w:val="14"/>
          <w:szCs w:val="14"/>
          <w:b w:val="1"/>
          <w:bCs w:val="1"/>
          <w:color w:val="auto"/>
        </w:rPr>
        <w:t>Public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534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0" w:lineRule="exact"/>
        <w:rPr>
          <w:sz w:val="20"/>
          <w:szCs w:val="20"/>
          <w:color w:val="auto"/>
        </w:rPr>
      </w:pPr>
    </w:p>
    <w:p>
      <w:pPr>
        <w:spacing w:after="0" w:line="3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0" w:lineRule="exact"/>
        <w:rPr>
          <w:sz w:val="20"/>
          <w:szCs w:val="20"/>
          <w:color w:val="auto"/>
        </w:rPr>
      </w:pPr>
    </w:p>
    <w:p>
      <w:pPr>
        <w:sectPr>
          <w:pgSz w:w="11900" w:h="16838" w:orient="portrait"/>
          <w:cols w:equalWidth="0" w:num="3">
            <w:col w:w="6040" w:space="220"/>
            <w:col w:w="2400" w:space="160"/>
            <w:col w:w="2300"/>
          </w:cols>
          <w:pgMar w:left="320" w:top="455"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w:t>
      </w:r>
    </w:p>
    <w:p>
      <w:pPr>
        <w:spacing w:after="0" w:line="27" w:lineRule="exact"/>
        <w:rPr>
          <w:sz w:val="20"/>
          <w:szCs w:val="20"/>
          <w:color w:val="auto"/>
        </w:rPr>
      </w:pPr>
    </w:p>
    <w:p>
      <w:pPr>
        <w:ind w:left="120" w:right="40" w:hanging="4"/>
        <w:spacing w:after="0" w:line="25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5" w:right="459" w:bottom="1440" w:gutter="0" w:footer="0" w:header="0"/>
          <w:type w:val="continuous"/>
        </w:sect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104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c>
          <w:tcPr>
            <w:tcW w:w="0" w:type="dxa"/>
            <w:vAlign w:val="bottom"/>
          </w:tcPr>
          <w:p>
            <w:pPr>
              <w:spacing w:after="0"/>
              <w:rPr>
                <w:sz w:val="1"/>
                <w:szCs w:val="1"/>
                <w:color w:val="auto"/>
              </w:rPr>
            </w:pPr>
          </w:p>
        </w:tc>
      </w:tr>
      <w:tr>
        <w:trPr>
          <w:trHeight w:val="191"/>
        </w:trPr>
        <w:tc>
          <w:tcPr>
            <w:tcW w:w="31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$875,000,000 of the net proceeds of this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offering and the sale of the private placement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warrants will be deposited into a trust account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located in the United States with Continental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Stock Transfer &amp; Trust Company acting as</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Approximately $744,187,500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ectPr>
          <w:pgSz w:w="11900" w:h="16838" w:orient="portrait"/>
          <w:cols w:equalWidth="0" w:num="2">
            <w:col w:w="7720" w:space="220"/>
            <w:col w:w="3180"/>
          </w:cols>
          <w:pgMar w:left="320" w:top="455" w:right="45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-626110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2168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$875,000,000 of the net proceeds of 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(if any) on proceeds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account to be paid to shareholders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by (i) any income taxes paid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(ii) in the event of our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failure to complete our initial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within the allotted time,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of net interest that may be released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should we have no or insufficient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to fund the costs and expenses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and liquidation.</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representatives inform us of their decision to allow earlier separate trading, subject to our having filed</w:t>
      </w:r>
    </w:p>
    <w:p>
      <w:pPr>
        <w:spacing w:after="0" w:line="1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640" w:space="680"/>
            <w:col w:w="3400" w:space="220"/>
            <w:col w:w="318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Current Report on Form 8-K described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below and having issued a press release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announcing when such separate trading will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begin. We will file the Current Report on Form</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8-K promptly after the closing of this offering.</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If the over-allotment option is exercised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following the initial filing of such Current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Report on Form 8-K, a second or amended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Current Report on Form 8-K will be filed to</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provide updated financial information to</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reflect the exercise of the over-allotment</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option.</w:t>
            </w:r>
          </w:p>
        </w:tc>
      </w:tr>
      <w:tr>
        <w:trPr>
          <w:trHeight w:val="306"/>
        </w:trPr>
        <w:tc>
          <w:tcPr>
            <w:tcW w:w="3260" w:type="dxa"/>
            <w:vAlign w:val="bottom"/>
          </w:tcPr>
          <w:p>
            <w:pPr>
              <w:spacing w:after="0"/>
              <w:rPr>
                <w:sz w:val="24"/>
                <w:szCs w:val="24"/>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units will automatically separate into their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component parts and will not be traded after</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completion of the initial business combination.</w:t>
            </w:r>
          </w:p>
        </w:tc>
      </w:tr>
      <w:tr>
        <w:trPr>
          <w:trHeight w:val="30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the warrants</w:t>
            </w: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8"/>
              </w:rPr>
              <w:t>The warrants cannot be exercised until the later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of 30 days after the completion of our initial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business combination or twelve months from</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closing of this offering.</w:t>
            </w:r>
          </w:p>
        </w:tc>
      </w:tr>
      <w:tr>
        <w:trPr>
          <w:trHeight w:val="52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We will provide our public shareholders with</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opportunity to require us to redeem their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public shares for cash at a per share price equal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to the aggregate amount then on deposit in the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trust account calculated as of two business</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days prior to the consummation of our initial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business combination, including interest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earned on the funds held in the trust account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and not previously released to us to pay our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income taxes, if any, divided by the number of</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then-outstanding public shares, upon the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completion of our initial business combination,</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subject to the limitations described herein. We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may not be required by law to hold a</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shareholder vote. If we are not required by law</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and do not</w:t>
            </w:r>
          </w:p>
        </w:tc>
      </w:tr>
      <w:tr>
        <w:trPr>
          <w:trHeight w:val="580"/>
        </w:trPr>
        <w:tc>
          <w:tcPr>
            <w:tcW w:w="3260" w:type="dxa"/>
            <w:vAlign w:val="bottom"/>
          </w:tcPr>
          <w:p>
            <w:pPr>
              <w:spacing w:after="0"/>
              <w:rPr>
                <w:sz w:val="24"/>
                <w:szCs w:val="24"/>
                <w:color w:val="auto"/>
              </w:rPr>
            </w:pPr>
          </w:p>
        </w:tc>
        <w:tc>
          <w:tcPr>
            <w:tcW w:w="43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w:t>
      </w:r>
    </w:p>
    <w:p>
      <w:pPr>
        <w:sectPr>
          <w:pgSz w:w="11900" w:h="16838" w:orient="portrait"/>
          <w:cols w:equalWidth="0" w:num="2">
            <w:col w:w="7720" w:space="220"/>
            <w:col w:w="318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otherwise decide to hold a shareholder vote,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will, pursuant to our amended and restated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conduct the redemptions pursuant to the tender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offer rules of the SEC and file tender offer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documents with the SEC which will contain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substantially the same financial and other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information about the initial business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combination and the redemption rights as is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required under the SEC’s proxy rules. If,</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however, we hold a shareholder vote, we will,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like many blank check companies, offer to</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redeem shares in conjunction with a proxy</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solicitation pursuant to the proxy rules and not</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pursuant to the tender offer rules. If we seek</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shareholder approval, we will complete our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initial business combination only if we obtain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approval of an ordinary resolution under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Cayman Islands law, which requires the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affirmative vote of shareholders holding a</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majority of ordinary shares who attend and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vote at a shareholder meeting. Additionally,</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each public shareholder may elect to require us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redeem their public shares irrespective of</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whether they vote for or against the proposed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transaction. Our amended and restated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memorandum and articles of association will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require that at least five days’ notice will be</w:t>
            </w:r>
          </w:p>
        </w:tc>
      </w:tr>
      <w:tr>
        <w:trPr>
          <w:trHeight w:val="234"/>
        </w:trPr>
        <w:tc>
          <w:tcPr>
            <w:tcW w:w="3280" w:type="dxa"/>
            <w:vAlign w:val="bottom"/>
          </w:tcPr>
          <w:p>
            <w:pPr>
              <w:spacing w:after="0"/>
              <w:rPr>
                <w:sz w:val="20"/>
                <w:szCs w:val="20"/>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given of any such shareholder meeting.</w:t>
            </w: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 deadline</w:t>
            </w: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If we have not consummated an initial business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combination within 24 months from the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closing of this offering, we will (i) cease all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operations except for the purpose of winding</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up; (ii) as promptly as reasonably possible but</w:t>
            </w:r>
          </w:p>
        </w:tc>
      </w:tr>
      <w:tr>
        <w:trPr>
          <w:trHeight w:val="234"/>
        </w:trPr>
        <w:tc>
          <w:tcPr>
            <w:tcW w:w="3280" w:type="dxa"/>
            <w:vAlign w:val="bottom"/>
          </w:tcPr>
          <w:p>
            <w:pPr>
              <w:spacing w:after="0"/>
              <w:rPr>
                <w:sz w:val="20"/>
                <w:szCs w:val="20"/>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not more than ten business</w:t>
            </w:r>
          </w:p>
        </w:tc>
      </w:tr>
      <w:tr>
        <w:trPr>
          <w:trHeight w:val="365"/>
        </w:trPr>
        <w:tc>
          <w:tcPr>
            <w:tcW w:w="3280" w:type="dxa"/>
            <w:vAlign w:val="bottom"/>
          </w:tcPr>
          <w:p>
            <w:pPr>
              <w:spacing w:after="0"/>
              <w:rPr>
                <w:sz w:val="24"/>
                <w:szCs w:val="24"/>
                <w:color w:val="auto"/>
              </w:rPr>
            </w:pPr>
          </w:p>
        </w:tc>
        <w:tc>
          <w:tcPr>
            <w:tcW w:w="43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 Unless a sufficient 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20" w:space="220"/>
            <w:col w:w="318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days thereafter, redeem 100% of the public</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shares, at a per-share price, payable in cash,</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equal to the aggregate amount then on deposit</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 the trust account, including interest earned</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on the funds held in the trust account and not</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previously released to us to pay our income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taxes, if any, (less up to $100,000 of interest to</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pay dissolution expenses) divided by the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number of the then-outstanding public shares,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which redemption will completely extinguish</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public shareholders’ rights as shareholders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(including the right to receive further</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liquidation distributions, if any); and (iii) as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promptly as reasonably possible following</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such redemption, subject to the approval of our</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remaining shareholders and our board of</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directors, liquidate and dissolve, subject in</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each case, to our obligations under Cayman</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Islands law to provide for claims of creditors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and in all cases subject to the other</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requirements of applicable law.</w:t>
            </w:r>
          </w:p>
        </w:tc>
      </w:tr>
      <w:tr>
        <w:trPr>
          <w:trHeight w:val="30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Except for the withdrawal of interest income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(if any) to pay our income taxes, if any, none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of the funds held in trust will be released from</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the trust account until the earliest of:</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 the completion of our initial business</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combination;</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 the redemption of our public shares if we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have not consummated an initial business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combination within 24 months from the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closing of this offering, subject to applicable</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law; or</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(iii) the redemption of our public shares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properly submitted in connection with a</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shareholder vote to approve an amendment to</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our amended and restated</w:t>
            </w:r>
          </w:p>
        </w:tc>
      </w:tr>
      <w:tr>
        <w:trPr>
          <w:trHeight w:val="378"/>
        </w:trPr>
        <w:tc>
          <w:tcPr>
            <w:tcW w:w="2720" w:type="dxa"/>
            <w:vAlign w:val="bottom"/>
          </w:tcPr>
          <w:p>
            <w:pPr>
              <w:spacing w:after="0"/>
              <w:rPr>
                <w:sz w:val="24"/>
                <w:szCs w:val="24"/>
                <w:color w:val="auto"/>
              </w:rPr>
            </w:pPr>
          </w:p>
        </w:tc>
        <w:tc>
          <w:tcPr>
            <w:tcW w:w="488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55" w:right="5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5320"/>
        <w:spacing w:after="0"/>
        <w:tabs>
          <w:tab w:leader="none" w:pos="8480" w:val="left"/>
        </w:tabs>
        <w:rPr>
          <w:sz w:val="20"/>
          <w:szCs w:val="20"/>
          <w:color w:val="auto"/>
        </w:rPr>
      </w:pPr>
      <w:r>
        <w:rPr>
          <w:rFonts w:ascii="Times New Roman" w:cs="Times New Roman" w:eastAsia="Times New Roman" w:hAnsi="Times New Roman"/>
          <w:sz w:val="14"/>
          <w:szCs w:val="14"/>
          <w:b w:val="1"/>
          <w:bCs w:val="1"/>
          <w:color w:val="auto"/>
        </w:rPr>
        <w:t>Terms of Our Offering</w:t>
      </w:r>
      <w:r>
        <w:rPr>
          <w:sz w:val="20"/>
          <w:szCs w:val="20"/>
          <w:color w:val="auto"/>
        </w:rPr>
        <w:tab/>
      </w: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16510</wp:posOffset>
            </wp:positionV>
            <wp:extent cx="43287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memorandum and articles of association</w:t>
      </w:r>
    </w:p>
    <w:p>
      <w:pPr>
        <w:spacing w:after="0" w:line="19" w:lineRule="exact"/>
        <w:rPr>
          <w:sz w:val="20"/>
          <w:szCs w:val="20"/>
          <w:color w:val="auto"/>
        </w:rPr>
      </w:pPr>
    </w:p>
    <w:p>
      <w:pPr>
        <w:ind w:left="4320" w:right="3460" w:hanging="6"/>
        <w:spacing w:after="0" w:line="251" w:lineRule="auto"/>
        <w:tabs>
          <w:tab w:leader="none" w:pos="46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 See “—Other Considerations.”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NY 10167. The cost for our use of this space is included in the $16,667 per month fee we will pay to an affiliate of our sponsor for office space, administrative and support services. We consider our current office space adequate for our current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register our units, Class A ordinary shares and warrants under the Exchange Act and have reporting obligations, including the requirement that we file annual, quarterly and current reports with the SEC.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accordance with the requirements of the Exchange Act, our annual reports will contain financial statements audited and reported on by our independent registered public accountants.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target business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target businesses, we do not believe that this limitation will be material.</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directors and executive officers in their capacity as such.</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320" w:top="455" w:right="5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Officers, Directors and 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directors and director nominees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8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6"/>
                <w:szCs w:val="16"/>
                <w:color w:val="auto"/>
              </w:rPr>
            </w:pPr>
          </w:p>
        </w:tc>
        <w:tc>
          <w:tcPr>
            <w:tcW w:w="590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B. Kaplan</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Co-Chairman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Strategy</w:t>
            </w: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7"/>
          <w:szCs w:val="17"/>
          <w:color w:val="auto"/>
        </w:rPr>
        <w:t>David B. Kaplan serves as Chief Executive Officer and is a Co-Chairman of the board of directors of AAC II. Mr. Kaplan is a Co-Founder of Ares, a Director and Partner of Ares Management Corporation, Co-Chairman of the Ares Private Equity Group and Chief Executive Officer and Co-Chairman of AAC. He is a member of the Ares Executive Management Committee. He additionally serves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w:t>
      </w:r>
    </w:p>
    <w:p>
      <w:pPr>
        <w:spacing w:after="0" w:line="10"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Mr. Kaplan graduated with High Distinction, Beta Gamma Sigma, from the University of Michigan, School of Business Administration with a B.B.A. concentrating in Finance. We believe Mr. Kaplan is well qualified to serve as the Co-Chairman of our board of directors due to his knowledge of and extensive experience with leveraged finance, acquisitions and private equity investments, in addition to his service as a director of other public and private companies.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Management Corporation and Co-Chairman of AAC. He is a member of the Ares Executive Management Committee. He additionally serves as Co-Chairman of ARCC and as a director of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communities through education and empowerment. He is additionally a member of the PATH Organization Leadership Council. Mr. Arougheti received a B.A. in Ethics, Politics and Economics, cum laude, from Yale University. We believe Mr. Arougheti is well qualified to serve as the Co-Chairman of our board of directors due to his knowledge of and extensive experience in investment management, leveraged finance and financial services, which give the board valuable industry-specific knowledge and expertise on these and other matters and, in addition to his service as a director of other public companies.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Jarrod Phillips serves as Chief Financial Officer of AAC II. Mr. Phillips is a Partner and Chief Accounting Officer of Ares Management Corporation and a member of the Management Committee. Mr. Phillips is also the Chief Financial Officer of AAC. Prior to joining Ares in 2016, Mr. Phillips was a Partner at Deloitte &amp; Touche LLP, where he focused on financial services and asset management assurance and advisory services. Mr. Phillips holds a B.S. from Virginia Polytechnic Institute and State University in Accounting. Mr. Phillips holds a CPA license in the State of California.</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Allyson Satin serves as Chief Operating Officer of AAC II. Ms. Satin is a Managing Director of Ares Management Corporation and serves as a member of the Ares Diversity and Inclusion Council. Ms. Satin is also the Chief Operating Officer of AAC. Previously, Ms. Satin was a Principal in the Ares Private Equity Group. Prior to joining the Ares Private Equity Group in 2009, Ms. Satin was an investment banking Analyst in the Global Financial Sponsors Group at Barclays Capital (formerly Lehman Brothers). Ms. Satin currently serves on the Board of Directors of Number Holdings, Inc., the parent entity of 99 Cents Only Stores LLC. Ms. Satin holds a B.S. from the University of California, Berkeley Haas School of Business in Business Administration.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Peter Ogilvie serves as Executive Vice President of Strategy of AAC II. Mr. Ogilvie is a Partner at Ares Management Corporation and Head of the Ares Corporate Strategy Team. Mr. Ogilvie co-founded the Corporate Strategy Team to drive growth and development across the Ares platform through acquisitions, balance sheet investments, partnerships and new team onboarding. He has led the Corporate Strategy Team’s efforts on numerous transactions including the acquisition of American Capital, Ltd. by Ares Capital Corporation, the business development company managed by Ares, and the formation of Ares’ business partnership with Sumitomo Mitsui Banking Corporation. Mr. Ogilvie is also the Executive Vice President of Strategy of AAC. Mr. Ogilvie serves as a board member for LightPoint Financial Technology and Ares Australia Management. Mr. Ogilvie joined Ares in 2007 in the U.S. Direct Lending Group and previously worked in the Leveraged Finance and Restructuring Group at Credit Suisse. Mr. Ogilvie holds a B.A. from Yale University in Economics.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Our board of directors is divided into three classes, with only one class of directors being elected in each year, and with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term of office of the first class of directors, consisting of , will expire at our first annual shareholder meeting. The term of office of the second class of directors, consisting of , will expire at our second annual shareholder meeting. The term of office of the third class of directors, consisting of , will expire at our third annual shareholder meeting.</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sponsor, upon consummation of an initial business combination, will be entitled to nominate three individuals for election to our board of directors, as long as our sponsor holds any securities covered by the registration and shareholder rights agreement.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NYSE listing standards require that a majority of our board of directors be independent. Our board of directors has determined that “independent directors” as defined in the NYSE listing standards. Our independent directors will have regularly scheduled meetings at which only independent directors are present.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681" w:lineRule="exact"/>
        <w:rPr>
          <w:sz w:val="20"/>
          <w:szCs w:val="20"/>
          <w:color w:val="auto"/>
        </w:rPr>
      </w:pPr>
    </w:p>
    <w:p>
      <w:pPr>
        <w:sectPr>
          <w:pgSz w:w="11900" w:h="16838" w:orient="portrait"/>
          <w:cols w:equalWidth="0" w:num="2">
            <w:col w:w="10640" w:space="160"/>
            <w:col w:w="32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None of our executive officers or directors have received any cash compensation from the company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$16,667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90"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executive officers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executive officers.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take any action to ensure that our directors and executive officers maintain their positions with us after the consummation of our initial business combination, although it is possible that some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all of our executive officers and directors may negotiate employment or consulting arrangements to remain with us after our initial business combination. The existence or terms of any such employment or consulting arrangements to retain their positions with us may influence our directors and executive officer’s motivation in identifying or selecting a target business but we do not believe that the ability of our directors and executive officers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directors. will serve as members of our audit committee. Our board of directors has determined that each of is independent under the NYSE listing standards and applicable SEC rules. will serve as the Chairman of the audit committee. Each member of the audit committee is financially literate and our board of directors has determined that each of qualifies as an “audit committee financial expert” as defined in applicable SEC rules.</w:t>
      </w: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right="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public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our directors and executive officers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our directors and executive officers and the independent auditor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nominating committee of our board</w:t>
      </w:r>
    </w:p>
    <w:p>
      <w:pPr>
        <w:spacing w:after="0" w:line="27"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of directors. The members of our nominating committee will be , and will serve as chairman of the nominating committee. Under the NYSE listing standards, we are required to have a nominating committee composed entirely of independent directors. Our board of directors has</w:t>
      </w:r>
    </w:p>
    <w:p>
      <w:pPr>
        <w:spacing w:after="0" w:line="1" w:lineRule="exact"/>
        <w:rPr>
          <w:sz w:val="20"/>
          <w:szCs w:val="20"/>
          <w:color w:val="auto"/>
        </w:rPr>
      </w:pPr>
    </w:p>
    <w:p>
      <w:pPr>
        <w:ind w:left="120"/>
        <w:spacing w:after="0"/>
        <w:tabs>
          <w:tab w:leader="none" w:pos="2600" w:val="left"/>
        </w:tabs>
        <w:rPr>
          <w:sz w:val="20"/>
          <w:szCs w:val="20"/>
          <w:color w:val="auto"/>
        </w:rPr>
      </w:pPr>
      <w:r>
        <w:rPr>
          <w:rFonts w:ascii="Times New Roman" w:cs="Times New Roman" w:eastAsia="Times New Roman" w:hAnsi="Times New Roman"/>
          <w:sz w:val="18"/>
          <w:szCs w:val="18"/>
          <w:color w:val="auto"/>
        </w:rPr>
        <w:t>determined that each of</w:t>
      </w:r>
      <w:r>
        <w:rPr>
          <w:sz w:val="20"/>
          <w:szCs w:val="20"/>
          <w:color w:val="auto"/>
        </w:rPr>
        <w:tab/>
      </w:r>
      <w:r>
        <w:rPr>
          <w:rFonts w:ascii="Times New Roman" w:cs="Times New Roman" w:eastAsia="Times New Roman" w:hAnsi="Times New Roman"/>
          <w:sz w:val="17"/>
          <w:szCs w:val="17"/>
          <w:color w:val="auto"/>
        </w:rPr>
        <w:t>is independent.</w:t>
      </w:r>
    </w:p>
    <w:p>
      <w:pPr>
        <w:spacing w:after="0" w:line="207" w:lineRule="exact"/>
        <w:rPr>
          <w:sz w:val="20"/>
          <w:szCs w:val="20"/>
          <w:color w:val="auto"/>
        </w:rPr>
      </w:pPr>
    </w:p>
    <w:p>
      <w:pPr>
        <w:jc w:val="both"/>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our board of directors. The nominating committee considers persons identified by its members, directors, executive officers, shareholders, investment bankers and others.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Guidelines for Selecting Director Nominees</w:t>
      </w:r>
    </w:p>
    <w:p>
      <w:pPr>
        <w:spacing w:after="0" w:line="11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will be specified in a charter to be adopted by us, generally will provide that persons to be nominated:</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our</w:t>
      </w:r>
    </w:p>
    <w:p>
      <w:pPr>
        <w:spacing w:after="0" w:line="27" w:lineRule="exact"/>
        <w:rPr>
          <w:sz w:val="20"/>
          <w:szCs w:val="20"/>
          <w:color w:val="auto"/>
        </w:rPr>
      </w:pPr>
    </w:p>
    <w:p>
      <w:pPr>
        <w:ind w:left="120" w:right="720"/>
        <w:spacing w:after="0" w:line="250" w:lineRule="auto"/>
        <w:rPr>
          <w:sz w:val="20"/>
          <w:szCs w:val="20"/>
          <w:color w:val="auto"/>
        </w:rPr>
      </w:pPr>
      <w:r>
        <w:rPr>
          <w:rFonts w:ascii="Times New Roman" w:cs="Times New Roman" w:eastAsia="Times New Roman" w:hAnsi="Times New Roman"/>
          <w:sz w:val="18"/>
          <w:szCs w:val="18"/>
          <w:color w:val="auto"/>
        </w:rPr>
        <w:t>board of directors. The members of our compensation committee will be , and will serve as chairman of the compensation committee.</w:t>
      </w: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standards, we are required to have a compensation committee composed entirely of independent directors. Our board of</w:t>
      </w:r>
    </w:p>
    <w:p>
      <w:pPr>
        <w:spacing w:after="0" w:line="27"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directors has determined that each of is independent. We will adopt a compensation committee charter, which will detail the principal functions of the compensation committee, including:</w:t>
      </w:r>
    </w:p>
    <w:p>
      <w:pPr>
        <w:spacing w:after="0" w:line="87" w:lineRule="exact"/>
        <w:rPr>
          <w:sz w:val="20"/>
          <w:szCs w:val="20"/>
          <w:color w:val="auto"/>
        </w:rPr>
      </w:pPr>
    </w:p>
    <w:p>
      <w:pPr>
        <w:ind w:left="1080" w:right="2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Section 16 executive officers;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directors and executive officers in complying with our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and the Ares funds or their current or former portfolio companies.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or another entity affiliated with one of our directors),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9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or another entity affiliated with one of our directors.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27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5"/>
              </w:rPr>
              <w:t>David B.</w:t>
            </w:r>
          </w:p>
        </w:tc>
        <w:tc>
          <w:tcPr>
            <w:tcW w:w="190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Kaplan</w:t>
            </w:r>
          </w:p>
        </w:tc>
        <w:tc>
          <w:tcPr>
            <w:tcW w:w="2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Investment Management, Various</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Director, Co-Founder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Private Equity</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Guitar Center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CHWR Group GP LLC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&amp; Hospitality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 and Decor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 Netherlands Parent B.V</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 Interim Chair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Cedars-Sinai Medical Center</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Non-profit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 Co-Founder President,</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Commercial Real Estate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Capital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 HOPE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Non-profit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Partner; Ares Strategy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Relationship Management Group</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LightPoint Financial Technology</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Australia Management</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Strategy</w:t>
            </w:r>
          </w:p>
        </w:tc>
      </w:tr>
    </w:tbl>
    <w:p>
      <w:pPr>
        <w:spacing w:after="0" w:line="238"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of its funds and other affiliates, including portfolio companies.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several other business endeavors for which he may be entitled to substantial compensation, and our executive officers are not obligated to contribute any specific number of hours per week to our affairs.</w:t>
      </w:r>
    </w:p>
    <w:p>
      <w:pPr>
        <w:spacing w:after="0" w:line="67" w:lineRule="exact"/>
        <w:rPr>
          <w:sz w:val="20"/>
          <w:szCs w:val="20"/>
          <w:color w:val="auto"/>
        </w:rPr>
      </w:pPr>
    </w:p>
    <w:p>
      <w:pPr>
        <w:ind w:left="108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3" w:lineRule="exact"/>
        <w:rPr>
          <w:rFonts w:ascii="Times New Roman" w:cs="Times New Roman" w:eastAsia="Times New Roman" w:hAnsi="Times New Roman"/>
          <w:sz w:val="18"/>
          <w:szCs w:val="18"/>
          <w:color w:val="auto"/>
        </w:rPr>
      </w:pPr>
    </w:p>
    <w:p>
      <w:pPr>
        <w:ind w:left="108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99" w:lineRule="exact"/>
        <w:rPr>
          <w:rFonts w:ascii="Times New Roman" w:cs="Times New Roman" w:eastAsia="Times New Roman" w:hAnsi="Times New Roman"/>
          <w:sz w:val="18"/>
          <w:szCs w:val="18"/>
          <w:color w:val="auto"/>
        </w:rPr>
      </w:pPr>
    </w:p>
    <w:p>
      <w:pPr>
        <w:ind w:left="1080" w:right="160" w:hanging="424"/>
        <w:spacing w:after="0" w:line="25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or executive officers or any of their affiliates may make additional investments in us in connection with our initial business combination, although they are under no obligation to do so. If our sponsor or any of its affiliates (including, without limitation, any Ares funds or their portfolio companies) elect to make additional investments or provide financing, such proposed transactions could influence our sponsor’s motivation to complete our initial business combination. Ares and its affiliates and certain of the Ares funds engage in the business of originating, underwriting, syndicating, acquiring and trading loans and debt securities of corporate and other borrowers, and may provide or participate in any debt financing arrangement in connection with any acquisition, financing or disposition of any target business that we may make.</w:t>
      </w:r>
    </w:p>
    <w:p>
      <w:pPr>
        <w:spacing w:after="0" w:line="94"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Our directors and officers or Ares or its affiliates may also sponsor, form or participate in other blank check companies similar to ours during the period in which we are seeking an initial business combination. In addition, funds managed by Ares may have provided debt to companies we pursue and such debt may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or may not be paid off in connection with a potential business combination. Any such companies may present additional conflicts of interest in pursuing an acquisition target, particularly in the event there is overlap among investment mandates and the director and officer teams.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to effectuate, the completion of our initial business combination. Further, commencing on the date our securities are first listed on the NYSE, we will also reimburse an affiliate of our sponsor for office space, secretarial and administrative services provided to us in the amount of $16,667 per month.</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In the event that we submit our initial business combination to our public shareholders for a vote, our sponsor, directors and executive officers have agreed to vote their founder shares and any public shares purchased during or after this offering in favor of our initial business combination.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directors and director nominees that beneficially owns ordinary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Prior to the initial investment in the company of $25,000 by the sponsor, the company had no assets, tangible or intangible. Up to 3,281,250 founder shares are subject to forfeiture depending on the extent to which the underwriters’ over-allotment option is exercised. The post-offering percentages in the following table assume that the underwriters do not exercise their over-allotment option and that there are 109,375,000 ordinary shares issued and outstanding after this offering.</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Percentage of</w:t>
            </w: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80" w:type="dxa"/>
            <w:vAlign w:val="bottom"/>
            <w:gridSpan w:val="2"/>
          </w:tcPr>
          <w:p>
            <w:pPr>
              <w:jc w:val="center"/>
              <w:ind w:right="624"/>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80" w:type="dxa"/>
            <w:vAlign w:val="bottom"/>
            <w:gridSpan w:val="5"/>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Ordinary</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gridSpan w:val="2"/>
          </w:tcPr>
          <w:p>
            <w:pPr>
              <w:jc w:val="center"/>
              <w:ind w:right="62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2"/>
                <w:szCs w:val="12"/>
                <w:b w:val="1"/>
                <w:bCs w:val="1"/>
                <w:color w:val="auto"/>
              </w:rPr>
              <w:t>(1)</w:t>
            </w:r>
          </w:p>
        </w:tc>
        <w:tc>
          <w:tcPr>
            <w:tcW w:w="1920" w:type="dxa"/>
            <w:vAlign w:val="bottom"/>
            <w:vMerge w:val="restart"/>
          </w:tcPr>
          <w:p>
            <w:pPr>
              <w:spacing w:after="0"/>
              <w:rPr>
                <w:sz w:val="10"/>
                <w:szCs w:val="10"/>
                <w:color w:val="auto"/>
              </w:rPr>
            </w:pPr>
          </w:p>
        </w:tc>
        <w:tc>
          <w:tcPr>
            <w:tcW w:w="1580" w:type="dxa"/>
            <w:vAlign w:val="bottom"/>
            <w:gridSpan w:val="2"/>
          </w:tcPr>
          <w:p>
            <w:pPr>
              <w:jc w:val="center"/>
              <w:ind w:right="624"/>
              <w:spacing w:after="0" w:line="11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8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8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580" w:type="dxa"/>
            <w:vAlign w:val="bottom"/>
            <w:gridSpan w:val="2"/>
          </w:tcPr>
          <w:p>
            <w:pPr>
              <w:jc w:val="center"/>
              <w:ind w:right="624"/>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(2)</w:t>
            </w:r>
          </w:p>
        </w:tc>
        <w:tc>
          <w:tcPr>
            <w:tcW w:w="8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580" w:type="dxa"/>
            <w:vAlign w:val="bottom"/>
          </w:tcPr>
          <w:p>
            <w:pPr>
              <w:spacing w:after="0"/>
              <w:rPr>
                <w:sz w:val="13"/>
                <w:szCs w:val="13"/>
                <w:color w:val="auto"/>
              </w:rPr>
            </w:pPr>
          </w:p>
        </w:tc>
        <w:tc>
          <w:tcPr>
            <w:tcW w:w="8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Acquisition Holdings II LP (our sponsor)</w:t>
            </w:r>
            <w:r>
              <w:rPr>
                <w:rFonts w:ascii="Times New Roman" w:cs="Times New Roman" w:eastAsia="Times New Roman" w:hAnsi="Times New Roman"/>
                <w:sz w:val="15"/>
                <w:szCs w:val="15"/>
                <w:color w:val="auto"/>
              </w:rPr>
              <w:t>(3)</w:t>
            </w:r>
          </w:p>
        </w:tc>
        <w:tc>
          <w:tcPr>
            <w:tcW w:w="8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w w:val="91"/>
              </w:rPr>
              <w:t>(4)</w:t>
            </w: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21,875,000</w:t>
            </w:r>
          </w:p>
        </w:tc>
        <w:tc>
          <w:tcPr>
            <w:tcW w:w="7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5"/>
              </w:rPr>
              <w:t>100%</w:t>
            </w:r>
          </w:p>
        </w:tc>
        <w:tc>
          <w:tcPr>
            <w:tcW w:w="5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Kaplan</w:t>
            </w:r>
          </w:p>
        </w:tc>
        <w:tc>
          <w:tcPr>
            <w:tcW w:w="158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158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directors and director nominees as a group</w:t>
            </w: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individuals)</w:t>
            </w:r>
          </w:p>
        </w:tc>
        <w:tc>
          <w:tcPr>
            <w:tcW w:w="158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0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our shareholders is c/o Ares Management LLC, 245 Park Avenue, 44th Floor, New York, NY 10167.</w:t>
      </w:r>
    </w:p>
    <w:p>
      <w:pPr>
        <w:ind w:left="540" w:right="58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540" w:hanging="424"/>
        <w:spacing w:after="0" w:line="25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Acquisition Holdings II LP (“sponsor”) is a Cayman Islands limited partnership managed by affiliates of Ares. Ares Acquisition Holdings II is the general partner of sponsor. Ares Investment Holdings LLC is the general partner of Ares Acquisition Holdings II. Ares Investment Holdings LLC is an indirect subsidiary of Ares Management Corporation (“Ares Management”). Ares Management GP LLC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Pursuant to Ares Management’s Certificate of Incorporation, the holders of the Ares Class B Common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Stock and the Ares Class C Common Stock, collectively, will generally have the majority of the votes on any matter submitted to the stockholders of Ares Management if certain conditions are met. The sole member of both Ares Management GP and Ares Voting is Ares Partners Holdco LLC (“Ares Partners”). Ares Partners is managed by a board of managers, which is composed of Michael Arougheti, Ryan Berry, R. Kipp deVeer, David Kaplan, Michael McFerran, Antony Ressler and Bennett Rosenthal (collectively, the “Board Members”). Mr. Ressler generally has veto authority over Board Members’ decisions.</w:t>
      </w:r>
    </w:p>
    <w:p>
      <w:pPr>
        <w:spacing w:after="0" w:line="3" w:lineRule="exact"/>
        <w:rPr>
          <w:sz w:val="20"/>
          <w:szCs w:val="20"/>
          <w:color w:val="auto"/>
        </w:rPr>
      </w:pPr>
    </w:p>
    <w:p>
      <w:pPr>
        <w:ind w:left="540" w:right="2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founder shares that will be surrendered to us for no consideration by our sponsor depending on the extent to which the underwriters’ over-allotment option is exercised.</w:t>
      </w: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indirectly owned by this individual as a result of his partnership interest in our sponsor.</w:t>
      </w:r>
    </w:p>
    <w:p>
      <w:pPr>
        <w:spacing w:after="0" w:line="20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Immediately after this offering, our initial shareholders will beneficially own 20% of the then issued and outstanding ordinary shares (assuming it does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initial shareholders have agreed (a) to vote any founder shares owned by them in favor of any proposed business combination and (b) not to require us to redeem any founder shares in connection with a shareholder vote to approve a proposed initial business combination.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and our officers and directors are deemed to be our “promoters”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founder shares, private placement warrants and any Class A ordinary shares issued upon conversion or exercise thereof are each subject to transfer restrictions pursuant to lock-up provisions in the agreements entered into by our sponsor and directors and executive officers. Our sponsor and each of our directors and executive officers have agreed not to transfer, assign or sell any of their founder shares until the earliest of (a) one year after the completion of our initial business combination and (b) upon consummation of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clauses (a) through (f) these permitted transferees must enter into a written agreement agreeing to be bound by these transfer restrictions and the other restrictions contained in the letter agreements.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320" w:top="455" w:right="5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The number of founder shares issued was determined based on the expectation that such founder shares would represent 20% of the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our issued and outstanding ordinary shares upon the consummation of this offering. Up to 3,281,250 founder shares are subject to forfeiture by our sponsor depending on the extent to which the underwriters’ over-allotment option is exercised. The founder shares (including the Class A ordinary shares issuable upon conversion thereof) may not, subject to certain limited exceptions, be transferred, assigned or sold by the holder.</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15,000,000 private placement warrants (or 16,750,000 private placement warrants if the over-allotment option is exercised in full) for a purchase price of $1.50 per whole warrant in a private placement that will occur simultaneously with the closing of this offering. As such, our sponsor’s interest in this transaction is valued at between $22,500,000 and $25,125,000, depending on the number of private placement warrants purchased. Each private placement warrant entitles the holder to purchase one Class A ordinary share at $11.50 per share. The private placement warrants (including the Class A ordinary shares issuable upon exercise thereof) may not, subject to certain limited exceptions, be transferred, assigned or sold by the holder.</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more fully discussed in the section of this prospectus entitled “Management—Conflicts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New York 10167. The cost for our use of this space is included in the $16,667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$2,000,000 of such loans may be convertible into warrants at a price of $1.50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our directors and executive officers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our sponsor holds any securities covered by the registration and shareholder rights agreement, which is described under the section of this prospectus entitled “Description of Securities—Registration and Shareholder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charter, providing for the review, approval 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unit has an offering price of $10.00 and consists of one Class A ordinary share and one-fifth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five units, you will not be able to receive or trade a whole warrant.</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Class A ordinary shares and warrants comprising the units are expected to begin separate trading on the 52nd day following the date of this prospectus (or, if such date is not a business day, the following business day) unless the representatives inform us of their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date of this prospectus, there were 25,156,250 Class B ordinary shares issued and outstanding, all of which were held of record by our sponsor (and its permitted transferees). Upon the closing of this offering, 109,375,000 of our ordinary shares will be outstanding (assuming no exercise of the underwriters’ over-allotment option) including:</w:t>
      </w:r>
    </w:p>
    <w:p>
      <w:pPr>
        <w:spacing w:after="0" w:line="8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87,500,000 Class A ordinary shares underlying the units issued as part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21,875,000 Class B ordinary shares held by our sponsor (and its permitted transferees).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increase or decrease the size of this offering, we will effect a share capitalization or share compulsory redemption or redemption or other appropriate mechanism, as applicable, with respect to our Class B ordinary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an ordinary resolution under Cayman Islands law, which requires the affirmative vote of shareholders holding a majority of ordinary shares who attend and vote at a shareholder meeting.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w:t>
      </w:r>
    </w:p>
    <w:p>
      <w:pPr>
        <w:spacing w:after="0" w:line="193"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divided into three classes with only one class of directors being elected in each year and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or elect directors. We may not hold an annual shareholder meeting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 their public shares redeemed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elect to redeem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their shares will not be reduced by the deferred underwriting commissions we will pay to the underwriters. The redemption rights will include the requirement that a beneficial owner must identify itself before we can validly redeem its shares. 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2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requiring us to redeem its shares with respect to Excess Shares. However, we would not be restricting our shareholders’ ability to vote all of their shares (including Excess Shares) for or against our initial business combination. Our shareholders’ inability to require us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to dispose such shares would be required to sell their shares in open market transactions, potentially at a loss.</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 such case, our sponsor and each of our directors and executive officers have agreed to vote their founder shares and any public shares purchased during or after this offering in favor of our initial business combination. As a result, in addition to our initial shareholders’ founder shares, we would need 32,812,501, or 37.5% (assuming all issued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and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Additionally, each public shareholder may elect to redeem their public shares irrespective of whether they vote for or against the proposed transaction.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Our sponsor, directors and executive officers have entered into an agreement with us, pursuant to which they have agreed to waive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require us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an agreement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offering or (ii) with respect to any other provision relating to the rights of holders of our Class A ordinary shares and (C) to waive their rights to liquidating distributions from the trust account with respect to its founder shares if we fail to consummate an initial business combination within 24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directors and each of our directors and executive officers have agreed to vote their founder shares and any public shares purchased during or after this offering in favor of our initial business combination.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 to one.</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Shareholders’ Warrants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89"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(except as described herein with respect to the private placement warrants):</w:t>
      </w:r>
    </w:p>
    <w:p>
      <w:pPr>
        <w:spacing w:after="0" w:line="66"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“—Warrants—Public Shareholders’ Warrants—Anti-Dilution Adjustments”) for any 20 trading days within a 30-trading day period ending three trading days before we send the notice of redemption to the warrant 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“—Warrants—Public Shareholders’ Warrants—Anti-dilution Adjustments”) as well as the $11.50 (for whole shares) warrant exercise price after the redemption notice is issued.</w:t>
      </w:r>
    </w:p>
    <w:p>
      <w:pPr>
        <w:spacing w:after="0" w:line="185"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r>
        <w:rPr>
          <w:rFonts w:ascii="Times New Roman" w:cs="Times New Roman" w:eastAsia="Times New Roman" w:hAnsi="Times New Roman"/>
          <w:sz w:val="18"/>
          <w:szCs w:val="18"/>
          <w:color w:val="auto"/>
        </w:rPr>
        <w:t>. 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w:t>
      </w:r>
    </w:p>
    <w:p>
      <w:pPr>
        <w:spacing w:after="0" w:line="66"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8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“—Warrants—Public Shareholders’ Warrants—Anti-Dilution Adjustments”) for any 20 trading days within the 30-trading day period ending three trading days before we send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“—Warrants—Public Shareholders’ Warrants—Anti-dilution Adjustments”), the private placement warrants must also be concurrently called for redemption on the same terms as the outstanding public warrants, as described above.</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warrant agreement, references above to Class A ordinary shares shall include a security other than Class A ordinary shares into which the Class A ordinary shares have been converted or exchanged for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76"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“—Anti-dilution Adjustments” below, the adjusted share prices in the column headings will equal the unadjusted share price multiplied by a fraction, the numerator of which is the higher of the Market Value and the Newly Issued Price as set forth under the heading “—Anti-dilution Adjustments” and the denominator of which is $10.00 and</w:t>
      </w:r>
    </w:p>
    <w:p>
      <w:pPr>
        <w:spacing w:after="0" w:line="5" w:lineRule="exact"/>
        <w:rPr>
          <w:sz w:val="20"/>
          <w:szCs w:val="20"/>
          <w:color w:val="auto"/>
        </w:rPr>
      </w:pPr>
    </w:p>
    <w:p>
      <w:pPr>
        <w:ind w:left="120" w:right="60" w:hanging="4"/>
        <w:spacing w:after="0" w:line="290" w:lineRule="auto"/>
        <w:tabs>
          <w:tab w:leader="none" w:pos="37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adjustment pursuant to the second paragraph under the heading “—Anti-dilution Adjustments” below, the adjusted share prices in the column headings will equal the unadjusted share price less the decrease in the exercise price of a warrant pursuant to such exercise price adjustment.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30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Fair Market Value of Class A Ordinary Shares</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8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&lt;10.00</w:t>
            </w:r>
          </w:p>
        </w:tc>
        <w:tc>
          <w:tcPr>
            <w:tcW w:w="16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11.00</w:t>
            </w:r>
          </w:p>
        </w:tc>
        <w:tc>
          <w:tcPr>
            <w:tcW w:w="16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12.00</w:t>
            </w:r>
          </w:p>
        </w:tc>
        <w:tc>
          <w:tcPr>
            <w:tcW w:w="1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16.00</w:t>
            </w:r>
          </w:p>
        </w:tc>
        <w:tc>
          <w:tcPr>
            <w:tcW w:w="16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17.00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&gt;18.00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0.297</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0.311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0.324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0.348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0.358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0.277</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0.258</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0.246</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0.325</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0.354</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0.232</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0.224</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0.214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0.204</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0.329</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0.348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0.193</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0.223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0.347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0.345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0.342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0.181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0.339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0.336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0.099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0.137</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0.296</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0.331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0.065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0.104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0.150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0.243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0.286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0.326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3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0.323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Ownership limit.</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7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ordinary shares is increased by a capitalization or share dividend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or by a sub-division of ordinary shares or other similar event, then, on the effective date of such capitalization or share dividend,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89"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5" w:lineRule="exact"/>
        <w:rPr>
          <w:sz w:val="20"/>
          <w:szCs w:val="20"/>
          <w:color w:val="auto"/>
        </w:rPr>
      </w:pPr>
    </w:p>
    <w:p>
      <w:pPr>
        <w:ind w:left="420" w:hanging="304"/>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our obligation to provide holders of our Class A ordinary shares the right to have their shares redeemed in</w:t>
      </w:r>
    </w:p>
    <w:p>
      <w:pPr>
        <w:spacing w:after="0" w:line="9" w:lineRule="exact"/>
        <w:rPr>
          <w:rFonts w:ascii="Times New Roman" w:cs="Times New Roman" w:eastAsia="Times New Roman" w:hAnsi="Times New Roman"/>
          <w:sz w:val="18"/>
          <w:szCs w:val="18"/>
          <w:color w:val="auto"/>
        </w:rPr>
      </w:pPr>
    </w:p>
    <w:p>
      <w:pPr>
        <w:jc w:val="both"/>
        <w:ind w:left="12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or</w:t>
      </w: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in connection with the redemption of our public shares upon our failure to complete our initial business combination, then the warrant exercise price will be decreased, effective immediately after the effective date of such event, by the amount of cash or the fair market value of any securities or other assets paid on each Class A ordinary share in respect of such event.</w:t>
      </w:r>
    </w:p>
    <w:p>
      <w:pPr>
        <w:spacing w:after="0" w:line="18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ordinary shares is decreased by a consolidation, combination or reclassification of Class A ordinary shares or other similar event, then, on the effective date of such consolidation, combination, reclassification or similar event, the number of Class A ordinary shares issuable on exercise of each warrant will be decreased in proportion to such decrease in outstanding Class A ordinary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and (ii) to the extent that such issuance is made to our sponsor or its affiliates,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“—Redemption of warrants when the price per Class A ordinary share equals or exceeds $18.00” and “—Redemption of warrants when the price per Class A ordinary shares equals or exceeds $10.00” will be adjusted (to the nearest cent) to be equal to 180% of the higher of the Market Value and the Newly Issued Price, and the $10.00 per share redemption trigger price described above under “—Redemption of warrants when the price per Class A ordinary share equals or exceeds $10.00” will be adjusted (to the nearest cent) to be equal to the higher of the Market Value and the Newly Issued Price.</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Shareholders—Transfers of Founder Shares and Private Placement Warrants,” to our officers and directors and other persons or entities affiliated with the initial purchasers of the private placement warrants) and they will not be redeemable by us (except as described under “—Warrants—Public Shareholders’ Warrants—Redemption of warrants when the price per Class A ordinary share equals or exceeds $10.00”)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9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Except as described above under “—Public Shareholders’ Warrants—Redemption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our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9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fund working capital deficiencies or finance transaction costs in connection with an intended initial business combination, our sponsor or an affiliate of our sponsor or certain of our officers and directors may, but are not obligated to, loan us funds as may be required. Up to $2,000,000 of such loans may be convertible into warrants of the post business combination entity at a price of $1.50 per warrant at the option of the lender. Such warrants would be identical to the private placement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In certain circumstances, the Companies Act allows for mergers or consolidations between two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2/3 %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9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0"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spacing w:after="0" w:line="1" w:lineRule="exact"/>
        <w:rPr>
          <w:sz w:val="20"/>
          <w:szCs w:val="20"/>
          <w:color w:val="auto"/>
        </w:rPr>
      </w:pPr>
    </w:p>
    <w:p>
      <w:pPr>
        <w:ind w:left="120" w:hanging="4"/>
        <w:spacing w:after="0" w:line="252"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sz w:val="20"/>
          <w:szCs w:val="20"/>
          <w:color w:val="auto"/>
        </w:rPr>
      </w:pPr>
    </w:p>
    <w:p>
      <w:pPr>
        <w:ind w:left="120" w:right="80" w:hanging="4"/>
        <w:spacing w:after="0" w:line="251" w:lineRule="auto"/>
        <w:tabs>
          <w:tab w:leader="none" w:pos="3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93" w:lineRule="exact"/>
        <w:rPr>
          <w:sz w:val="20"/>
          <w:szCs w:val="20"/>
          <w:color w:val="auto"/>
        </w:rPr>
      </w:pPr>
    </w:p>
    <w:p>
      <w:pPr>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an annual shareholder meeting, or extraordinary shareholder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4" w:lineRule="exact"/>
        <w:rPr>
          <w:sz w:val="20"/>
          <w:szCs w:val="20"/>
          <w:color w:val="auto"/>
        </w:rPr>
      </w:pPr>
    </w:p>
    <w:p>
      <w:pPr>
        <w:ind w:left="1080" w:right="2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Squeeze-out Provisions. </w:t>
      </w:r>
      <w:r>
        <w:rPr>
          <w:rFonts w:ascii="Times New Roman" w:cs="Times New Roman" w:eastAsia="Times New Roman" w:hAnsi="Times New Roman"/>
          <w:sz w:val="18"/>
          <w:szCs w:val="18"/>
          <w:color w:val="auto"/>
        </w:rPr>
        <w:t>When a takeover offer is made and accepted by holders of 90% of the shares to whom the offer relates within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2"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Maples and Calder, our Cayman Islands counsel, is not aware of any reported class action having been brought in a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0"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Enforcement of Civil Liabilities. </w:t>
      </w:r>
      <w:r>
        <w:rPr>
          <w:rFonts w:ascii="Times New Roman" w:cs="Times New Roman" w:eastAsia="Times New Roman" w:hAnsi="Times New Roman"/>
          <w:sz w:val="18"/>
          <w:szCs w:val="18"/>
          <w:color w:val="auto"/>
        </w:rPr>
        <w:t>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Considerations for Exempted Companies. </w:t>
      </w:r>
      <w:r>
        <w:rPr>
          <w:rFonts w:ascii="Times New Roman" w:cs="Times New Roman" w:eastAsia="Times New Roman" w:hAnsi="Times New Roman"/>
          <w:sz w:val="18"/>
          <w:szCs w:val="18"/>
          <w:color w:val="auto"/>
        </w:rPr>
        <w:t>We are an exempted company with limited liability under the Companies Act.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provide that a quorum at our shareholder meetings will consist of not less than one-third of the ordinary shares entitled to vote at such meeting being present in person or by proxy; provided that a quorum of a majority of the ordinary shares entitled to vote at such meeting being present in person or by proxy is required for any meeting that is convened to vote on a business combination or any amendment to our amended and restated memorandum and articles of association that would modify (A)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any other provision relating to the rights of holders of our Class A ordinary shares a majority of the ordinary shares entitled to vote at such meeting being present in person or by proxy.</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85" w:lineRule="exact"/>
        <w:rPr>
          <w:sz w:val="20"/>
          <w:szCs w:val="20"/>
          <w:color w:val="auto"/>
        </w:rPr>
      </w:pPr>
    </w:p>
    <w:p>
      <w:pPr>
        <w:ind w:left="1080" w:hanging="424"/>
        <w:spacing w:after="0" w:line="25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93"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88"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or an independent accounting firm that such a business combination is fair to our company from a financial point of view;</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financial and other information about our initial business combination and the redemption rights as is required under Regulation 14A of the Exchange Act;</w:t>
      </w:r>
    </w:p>
    <w:p>
      <w:pPr>
        <w:spacing w:after="0" w:line="67" w:lineRule="exact"/>
        <w:rPr>
          <w:sz w:val="20"/>
          <w:szCs w:val="20"/>
          <w:color w:val="auto"/>
        </w:rPr>
      </w:pPr>
    </w:p>
    <w:p>
      <w:pPr>
        <w:jc w:val="both"/>
        <w:ind w:left="1080" w:right="6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with another blank check company or a similar company with nominal operations.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shareholder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Anti-Money Laundering—Cayman Islands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(As Revised) of the Cayman Islands if the disclosure relates to criminal conduct or money laundering, or (ii) a police officer of the rank of constable or higher, or the Financial Reporting Authority, pursuant to the Terrorism Law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Protection—Cayman Islands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2017 of the Cayman Islands (the “DPA”)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DPA (“personal data”). In the following discussion, the “company” refers to us and our affiliates 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Company May Use a Shareholder’s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and FATCA/CRS requirements);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11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We Take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or delegates outside of the Cayman Islands shall be in accordance with the requirements of the DPA.</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shareholder meetings.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after this offering we will have 109,375,000 ordinary shares (or 125,781,250 ordinary shares if the underwriters’ over-allotment option is exercised in full) issued and outstanding on an as-converted basis. Of these shares, the Class A ordinary shares sold in this offering (87,500,000 Class A ordinary shares if the underwriters’ over-allotment option is not exercised and 100,625,000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(21,875,000 founder shares if the underwriters’ over-allotment option is not exercised and 25,156,250 founder shares if the underwriters’ over-allotment option is exercised in full) and all of the outstanding private placement warrants (15,000,000 private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placement warrants if the underwriters’ over-allotment option is not exercised and 16,750,000 private placement warrants if the underwriter’s over-allotment option is exercised in full) will be restricted securities under Rule 144, in that they were issued in private transactions not involving a public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Rule 144</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right="7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which will equal 1,093,750 shares immediately after this offering (or 1,257,813 shares if the underwriters exercise their over-allotment option in full);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Shareholder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our sponsor holds any securities covered by the registration and shareholder rights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Once the securities comprising the units begin separate trading, we expect that the Class A ordinary shares and warrants will be listed on the NYSE under the symbols “ ” and “ ,”</w:t>
      </w: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respectively. The units will automatically separate into their component parts and will not be traded following the completion of our initial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Cayman Islands and U.S. federal income tax consequences of an investment in our units, each consisting of one Class A ordinary share and one-fifth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Tax Concessions Act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 of Section 6 of The Tax Concessions Act (As Revised), the Financial Secretary undertakes with Ares Acquisition Corporation II (the “Company”):</w:t>
      </w:r>
    </w:p>
    <w:p>
      <w:pPr>
        <w:spacing w:after="0" w:line="67" w:lineRule="exact"/>
        <w:rPr>
          <w:sz w:val="20"/>
          <w:szCs w:val="20"/>
          <w:color w:val="auto"/>
        </w:rPr>
      </w:pPr>
    </w:p>
    <w:p>
      <w:pPr>
        <w:ind w:left="540" w:right="30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67"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by way of the withholding in whole or part, of any relevant payment as defined in Section 6(3) of the Tax Concessions Act (As Revised).</w:t>
      </w:r>
    </w:p>
    <w:p>
      <w:pPr>
        <w:spacing w:after="0" w:line="22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These concessions shall be for a period of 20 years from the date hereof.</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generally applicable to the acquisition, ownership and disposition of our units (each consisting of one Class A ordinary share and one-fifth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94"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units, Class A ordinary shares or warrants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to be treated as a United States person.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NON-UNITED STATES TAX LAWS.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Purchase Price and Characterization of a Unit</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one-fifth of one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one-fifth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one-fifth of one warrant should constitute the shareholder’s initial tax basis in such share or warrant. Any disposition of a unit should be treated for U.S. federal income tax purposes as a disposition of the Class A ordinary share and one-fifth of one warrant comprising the unit, and the amount realized on the disposition should be allocated between the Class A ordinary share and one-fifth of one warrant based on their respective relative fair market values at the time of disposition (as determined by each such unit holder based on all relevant facts and circumstances). Neither the separation of the Class A ordinary share and the one-fifth of one warrant constituting a unit nor the combination of thirds of warrants into a single warrant should be a taxable event for U.S. federal income tax purposes.</w:t>
      </w:r>
    </w:p>
    <w:p>
      <w:pPr>
        <w:spacing w:after="0" w:line="19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holder’s purchase price allocation are not binding on the IRS or the courts. Because there are no authorities that directly address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“—Gain or Loss on Sale, Taxable Exchange or Other Taxable Disposition of Class A Ordinary Shares and Warrants” below).</w:t>
      </w:r>
    </w:p>
    <w:p>
      <w:pPr>
        <w:spacing w:after="0" w:line="192"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Ordinary Shares and Warrants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one-fifth of one warrant, as described above under “—Allocation of Purchase Price and Characterization of a Unit”) reduced, in the case of a Class A ordinary share, by any prior distributions treated as a return of capital. Long-term capital gain realized by a non-corporate U.S. Holder is currently eligible to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taxed at reduced rates. See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Class A Ordinary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Class A ordinary shares are redeemed pursuant to the redemption provisions described in this prospectus under “Description of Securities—Ordinary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9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1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ind w:left="120" w:right="320" w:firstLine="440"/>
        <w:spacing w:after="0" w:line="274"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as a taxable exchange in which gain or loss would be recognized. In such event, a U.S. Holder may be deemed to have surrendered a number of warrants having an aggregate value equal to the exercise price for the total number of warrants deemed exercised. Subject to the PFIC rules discussed below, the U.S. Holder would recognize capital gain or loss in an amount equal to the difference between the aggregate value of the warrants deemed surrendered and the U.S. Holder’s tax basis in such warrants. In this case, a U.S. Holder’s tax basis in the Class A ordinary shares received would equal the sum of the U.S. Holder’s initial investment in the warrants deemed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9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76"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Subject to the PFIC rules described below, if we redeem warrants for cash pursuant to the redemption provisions described in the section of this prospectus entitled “Description of Securities—Warrants—Public Shareholders’ Warrants” or if we 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 The tax consequences of an exercise of a warrant occurring after our giving notice of an intention to redeem the warrant for $0.01 or $.10 as described in the section of this prospectus entitled “Description of Securities—Warrants—Public Shareholders’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basis in the warrant and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Securities—Warrants—Public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Securities—Warrants—Public Shareholders’ Warrants—Anti-Dilution Adjustments”)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Generally, a U.S. Holder’s adjusted tax basis in its warrant would be increased to the extent any such constructive distribution is treated as a dividend.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will generally apply for subsequent years to a U.S. Holder who held (or is deemed to have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and valid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31" w:lineRule="exact"/>
        <w:rPr>
          <w:sz w:val="20"/>
          <w:szCs w:val="20"/>
          <w:color w:val="auto"/>
        </w:rPr>
      </w:pPr>
    </w:p>
    <w:p>
      <w:pPr>
        <w:ind w:left="10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warrants;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such purging election, the U.S. Holder generally will have a new basis and holding period in the Class A ordinary shares acquired upon the exercise of the warrants for purposes of the PFIC rules.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9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including the NYSE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Reporting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1" w:lineRule="exact"/>
        <w:rPr>
          <w:sz w:val="20"/>
          <w:szCs w:val="20"/>
          <w:color w:val="auto"/>
        </w:rPr>
      </w:pPr>
    </w:p>
    <w:p>
      <w:pPr>
        <w:ind w:left="5480" w:right="380" w:hanging="4824"/>
        <w:spacing w:after="0" w:line="454" w:lineRule="auto"/>
        <w:tabs>
          <w:tab w:leader="none" w:pos="107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 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dated the date of this prospectus, we have agreed to sell to the underwriters named below the follow respective number of units: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5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Morgan Stanley &amp; Co. LLC</w:t>
            </w: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tcPr>
          <w:p>
            <w:pPr>
              <w:spacing w:after="0"/>
              <w:rPr>
                <w:sz w:val="19"/>
                <w:szCs w:val="19"/>
                <w:color w:val="auto"/>
              </w:rPr>
            </w:pPr>
          </w:p>
        </w:tc>
      </w:tr>
    </w:tbl>
    <w:p>
      <w:pPr>
        <w:spacing w:after="0" w:line="19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public offering price set forth on the cover of this prospectus. Any</w:t>
      </w:r>
    </w:p>
    <w:p>
      <w:pPr>
        <w:spacing w:after="0" w:line="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units sold by the underwriters to securities dealers may be sold at a discount from the initial public offering price not to exceed $ per unit. If all of the units are not sold at the initial offering price, the underwriters may change the offering price and the other selling terms. The underwriters have advised us that they do not intend to make sales to discretionary accounts. The offering of the units by the underwriters are subject to receipt and acceptance and subject to the underwriters’ rights to reject any order in whole or in part.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underwriters sell more units than the total number set forth in the table above, we have granted to the underwriters an option, exercisable for 45 days from the date of this prospectus, to purchase up to 13,125,000 additional units at the public offering price less the underwriting discount. The underwriters may exercise this option solely for the purpose of covering over-allotments, if any, in connection with this offering. To the extent the option is exercised, the underwriters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Morgan Stanley &amp; Co. LLC offer, sell, contract to sell, pledge or otherwise dispose of, directly or indirectly, any units, warrants, ordinary shares or any other securities convertible into, or exercisable, or exchangeable for, ordinary shares, subject to certain exceptions. Morgan Stanley &amp; Co. LLC in its sole discretion may release any of the securities subject to these lock-up agreements at any time without notice, other than in the case of the officers and directors, which shall be with notice. Our sponsor, officers and directors are also subject to separate transfer restrictions on their founder shares and private placement warrants as described in the following paragraph.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 their founder shares until the earlier to occur of (A) one year after the completion of our initial business combination or (B) subsequent to our initial business combination, (x) if the closing price of our Class A ordinary shares equals or exceeds $12.00 per share (as adjusted for share subdivisions, share dividends,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shareholders having the right to exchange their ordinary shares for cash, securities or other property (except with respect to permitted transferees as described herein under the section of this prospectus entitled “Principal Shareholders—Restrictions on Transfers of Founder Shares and Private Placement Warrants”). The private placement warrants (including the Class A ordinary shares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Shareholders—Restrictions on Transfers of Founder Shares and Private Placement Warrants”).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securities. Consequently, the initial public offering price for the units was determined by negotiations between us and the underwriters. Among the factors considered in determining initial public offering price were the history and prospects of companies whose principal business is the acquisition of other companies, prior offerings of those companies, our directors or executive officers,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We expect that our Class A ordinary shares and warrants will be listed under the symbols “ ” and “ ,” respectively, once the Class A ordinary shares and warrants begin separate trading.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over-allotment option.</w:t>
      </w:r>
    </w:p>
    <w:p>
      <w:pPr>
        <w:spacing w:after="0" w:line="22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Payable by Ares Acquisition</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Corporation</w:t>
      </w:r>
    </w:p>
    <w:tbl>
      <w:tblPr>
        <w:tblLayout w:type="fixed"/>
        <w:tblInd w:w="144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14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8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40" w:type="dxa"/>
            <w:vAlign w:val="bottom"/>
          </w:tcPr>
          <w:p>
            <w:pPr>
              <w:spacing w:after="0"/>
              <w:rPr>
                <w:sz w:val="12"/>
                <w:szCs w:val="12"/>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Unit</w:t>
            </w:r>
            <w:r>
              <w:rPr>
                <w:rFonts w:ascii="Times New Roman" w:cs="Times New Roman" w:eastAsia="Times New Roman" w:hAnsi="Times New Roman"/>
                <w:sz w:val="15"/>
                <w:szCs w:val="15"/>
                <w:color w:val="auto"/>
              </w:rPr>
              <w:t>(1)</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(1)</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61"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$0.35 per unit, or $30,625,000 (or $35,218,750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w:t>
      </w:r>
    </w:p>
    <w:p>
      <w:pPr>
        <w:spacing w:after="0" w:line="18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If we do not complete our initial business combination and subsequently liquidate, the trustee and the underwriters have agreed that (i) they will forfeit any rights or claims to their deferred underwriting discounts and commissions, including any accrued interest thereon, then in the trust account upon liquidation, and (ii) that the deferred discounts and commissions will be distributed on a pro rata basis, including interest earned on the funds held in the trust account and not previously released to us to pay our franchise and income taxes (less up to $100,000 of interest to pay dissolution expenses).</w:t>
      </w:r>
    </w:p>
    <w:p>
      <w:pPr>
        <w:spacing w:after="0" w:line="16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81" w:lineRule="exact"/>
        <w:rPr>
          <w:sz w:val="20"/>
          <w:szCs w:val="20"/>
          <w:color w:val="auto"/>
        </w:rPr>
      </w:pPr>
    </w:p>
    <w:p>
      <w:pPr>
        <w:ind w:left="1080" w:right="5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units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units in an amount up to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units in an amount in excess of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units either pursuant to the over-allotment option or in the open market after the distribution has been completed to cover short positions.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our portion of the total expenses of this offering payable by us will be $3,000,000, excluding underwriting discounts and commissions. We have agreed to reimburse the underwriters for all expenses and fees related to the review by the Financial Industry Regulatory Authority (“FINRA”), which will not exceed $25,000.</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not under any contractual obligation to engage the underwriters or one of their respective affiliates to provide any services for us after this offering, but we may do so at our discretion. However, the underwriters or one of their respective affiliates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or their respective affiliates provides services to us after this offering, we may pay such underwriter or its affiliate fair and reasonable fees or other compensation that would be determined at that time in an arm’s length negotiation; provided that no agreement will be entered into with the underwriters and their respective affiliates no fees or other compensation for such services will be paid to the underwriters or their respective affiliates prior to the date that is 60 days from the date of this prospectus, unless such payment would not be deemed underwriting compensation in connection with this offering.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 frame.</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the underwriters nor their affiliates are under any obligation to provide us services in the future, including with respect to our initial business combination. The underwriters or their affiliates engage in advisory, underwriting, lending and financing, principal investing, sales and trading, research and investment management activities with a variety of clients and counterparties, corporate, governmental, institutional and individual. Consequently, at the time of our initial business combination the underwriters may advise or provide financing or other services to the target business, the sellers of the target business or other entities competing with us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acquire the target business. In addition, the underwriters or their affiliates may compete with us in trying acquire a target business or have interests in the target business we acquire.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have engaged in, and may in the future engage in, investment banking and other commercial dealings in the ordinary course of business with us or our affiliates, including as lenders or agents under financings. They have received, or may in the future receive, customary fees and commissions for these transactions.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or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offer of shares may be made to the public in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 State other than:</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80"/>
        <w:spacing w:after="0" w:line="312" w:lineRule="auto"/>
        <w:rPr>
          <w:sz w:val="20"/>
          <w:szCs w:val="20"/>
          <w:color w:val="auto"/>
        </w:rPr>
      </w:pPr>
      <w:r>
        <w:rPr>
          <w:rFonts w:ascii="Times New Roman" w:cs="Times New Roman" w:eastAsia="Times New Roman" w:hAnsi="Times New Roman"/>
          <w:sz w:val="17"/>
          <w:szCs w:val="17"/>
          <w:color w:val="auto"/>
        </w:rPr>
        <w:t>Prospectus Regulation and each person who initially acquires any shares or to whom any offer is made will be deemed to have represented, acknowledged and agreed to and with the underwriters and us that it is a “qualified investor” as defined in the Prospectus Regulation.</w:t>
      </w:r>
    </w:p>
    <w:p>
      <w:pPr>
        <w:spacing w:after="0" w:line="14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JAPAN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sz w:val="20"/>
          <w:szCs w:val="20"/>
          <w:color w:val="auto"/>
        </w:rPr>
      </w:pPr>
    </w:p>
    <w:p>
      <w:pPr>
        <w:jc w:val="both"/>
        <w:ind w:left="1080" w:hanging="424"/>
        <w:spacing w:after="0" w:line="258"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225" w:lineRule="exact"/>
        <w:rPr>
          <w:sz w:val="20"/>
          <w:szCs w:val="20"/>
          <w:color w:val="auto"/>
        </w:rPr>
      </w:pPr>
    </w:p>
    <w:p>
      <w:pPr>
        <w:ind w:left="120" w:right="40" w:firstLine="436"/>
        <w:spacing w:after="0" w:line="261" w:lineRule="auto"/>
        <w:tabs>
          <w:tab w:leader="none" w:pos="8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FSMA with respect to anything done by it in relation to the units in, from or otherwise involving the United Kingdom.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Kirkland &amp; Ellis LLP, Los Angeles, California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Ropes &amp; Gray LLP advised the underwriters in connection with the offering of the securities.</w:t>
      </w: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AAC II as of March 19, 2021 and for the period from March 15, 2021 (inception) through March 19, 2021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94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560" w:type="dxa"/>
            <w:vAlign w:val="bottom"/>
          </w:tcPr>
          <w:p>
            <w:pPr>
              <w:ind w:left="1300"/>
              <w:spacing w:after="0" w:line="194" w:lineRule="exact"/>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Balance Sheet as of March 19, 2021</w:t>
            </w:r>
          </w:p>
        </w:tc>
        <w:tc>
          <w:tcPr>
            <w:tcW w:w="1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3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 for the period from March</w:t>
            </w:r>
          </w:p>
        </w:tc>
        <w:tc>
          <w:tcPr>
            <w:tcW w:w="5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15, 2021 (inception) to March 19, 2021</w:t>
            </w: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EE"/>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4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Shareholder’s Equity for the period from March 15, 2021 (inception) to March 19, 2021</w:t>
            </w: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37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Cash Flows for the period from March</w:t>
            </w:r>
          </w:p>
        </w:tc>
        <w:tc>
          <w:tcPr>
            <w:tcW w:w="4380" w:type="dxa"/>
            <w:vAlign w:val="bottom"/>
            <w:tcBorders>
              <w:top w:val="single" w:sz="8" w:color="0000EE"/>
            </w:tcBorders>
            <w:gridSpan w:val="4"/>
          </w:tcPr>
          <w:p>
            <w:pPr>
              <w:ind w:left="60"/>
              <w:spacing w:after="0" w:line="196" w:lineRule="exact"/>
              <w:rPr>
                <w:sz w:val="20"/>
                <w:szCs w:val="20"/>
                <w:color w:val="auto"/>
              </w:rPr>
            </w:pPr>
            <w:r>
              <w:rPr>
                <w:rFonts w:ascii="Times New Roman" w:cs="Times New Roman" w:eastAsia="Times New Roman" w:hAnsi="Times New Roman"/>
                <w:sz w:val="18"/>
                <w:szCs w:val="18"/>
                <w:color w:val="0000EE"/>
              </w:rPr>
              <w:t>15, 2021 (inception) to March 19, 2021</w:t>
            </w:r>
          </w:p>
        </w:tc>
        <w:tc>
          <w:tcPr>
            <w:tcW w:w="1260" w:type="dxa"/>
            <w:vAlign w:val="bottom"/>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7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2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15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Ares Acquisition Corporation II (the “Company”) as of March 19, 2021, the related statements of operations, changes in shareholder’s equity and cash flows for the period from March 15, 2021 (inception) through March 19, 2021, and the related notes (collectively referred to as the “financial statements”). In our opinion, the financial statements present fairly, in all material respects, the financial position of the Company as of March 19, 2021, and the results of its operations and its cash flows for the period from March 15, 2021 (inception) through March 19, 2021,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14, 2021</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0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ARES ACQUISITION CORPORATION II</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March 19, 2021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65,466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65,466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Accrued offering costs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47,751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ordinary shares, $0.0001 par value; 300,000,000 shares authorized; none issued and outstanding</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B ordinary shares, $0.0001 par value; 30,000,000 shares authorized; 25,156,250 shares issued and outstanding</w:t>
            </w:r>
            <w:r>
              <w:rPr>
                <w:rFonts w:ascii="Times New Roman" w:cs="Times New Roman" w:eastAsia="Times New Roman" w:hAnsi="Times New Roman"/>
                <w:sz w:val="15"/>
                <w:szCs w:val="15"/>
                <w:color w:val="auto"/>
              </w:rPr>
              <w:t>(1)</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65,466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74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6" w:right="4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ARES ACQUISITION CORPORATION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THE PERIOD FROM MARCH 15, 2021 (INCEPTION) THROUGH MARCH 19,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21,875,000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2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46"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MARCH 15, 2021 (INCEPTION) THROUGH MARCH 19,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7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380" w:type="dxa"/>
            <w:vAlign w:val="bottom"/>
            <w:vMerge w:val="restart"/>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660" w:type="dxa"/>
            <w:vAlign w:val="bottom"/>
          </w:tcPr>
          <w:p>
            <w:pPr>
              <w:spacing w:after="0"/>
              <w:rPr>
                <w:sz w:val="6"/>
                <w:szCs w:val="6"/>
                <w:color w:val="auto"/>
              </w:rPr>
            </w:pPr>
          </w:p>
        </w:tc>
        <w:tc>
          <w:tcPr>
            <w:tcW w:w="1740" w:type="dxa"/>
            <w:vAlign w:val="bottom"/>
            <w:tcBorders>
              <w:bottom w:val="single" w:sz="8" w:color="auto"/>
            </w:tcBorders>
            <w:gridSpan w:val="5"/>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4"/>
                <w:szCs w:val="4"/>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15, 2021 (inception)</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ordinary shares to Sponsor</w:t>
            </w:r>
            <w:r>
              <w:rPr>
                <w:rFonts w:ascii="Times New Roman" w:cs="Times New Roman" w:eastAsia="Times New Roman" w:hAnsi="Times New Roman"/>
                <w:sz w:val="15"/>
                <w:szCs w:val="15"/>
                <w:color w:val="auto"/>
              </w:rPr>
              <w:t>(1)</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25,156,250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22,484</w:t>
            </w: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(7,285)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19, 2021</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25,156,250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2,516</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(7,285</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40" w:hanging="424"/>
        <w:spacing w:after="0" w:line="282"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FOR THE PERIOD FROM MARCH 15, 2021 (INCEPTION) THROUGH MARCH 19, 2021</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Payment of formation costs through issuance of Class B ordinary shares</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Cash—beginning of period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Cash—end of period</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Formation and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9" w:lineRule="exact"/>
        <w:rPr>
          <w:sz w:val="20"/>
          <w:szCs w:val="20"/>
          <w:color w:val="auto"/>
        </w:rPr>
      </w:pPr>
    </w:p>
    <w:p>
      <w:pPr>
        <w:jc w:val="center"/>
        <w:ind w:left="1530"/>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left="153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 (7,285)</w:t>
      </w:r>
    </w:p>
    <w:p>
      <w:pPr>
        <w:spacing w:after="0" w:line="237"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8"/>
          <w:szCs w:val="18"/>
          <w:color w:val="auto"/>
        </w:rPr>
        <w:t>7,285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71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6"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71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2"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330" w:hanging="330"/>
        <w:spacing w:after="0"/>
        <w:tabs>
          <w:tab w:leader="none" w:pos="330" w:val="left"/>
        </w:tabs>
        <w:numPr>
          <w:ilvl w:val="0"/>
          <w:numId w:val="9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3771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63" w:lineRule="exact"/>
        <w:rPr>
          <w:sz w:val="20"/>
          <w:szCs w:val="20"/>
          <w:color w:val="auto"/>
        </w:rPr>
      </w:pPr>
    </w:p>
    <w:p>
      <w:pPr>
        <w:jc w:val="both"/>
        <w:ind w:left="10" w:right="60"/>
        <w:spacing w:after="0" w:line="379" w:lineRule="auto"/>
        <w:rPr>
          <w:sz w:val="20"/>
          <w:szCs w:val="20"/>
          <w:color w:val="auto"/>
        </w:rPr>
      </w:pPr>
      <w:r>
        <w:rPr>
          <w:rFonts w:ascii="Times New Roman" w:cs="Times New Roman" w:eastAsia="Times New Roman" w:hAnsi="Times New Roman"/>
          <w:sz w:val="17"/>
          <w:szCs w:val="17"/>
          <w:u w:val="single" w:color="auto"/>
          <w:color w:val="auto"/>
        </w:rPr>
        <w:t>$47,751 $25,000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3771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3771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ectPr>
          <w:pgSz w:w="11900" w:h="16838" w:orient="portrait"/>
          <w:cols w:equalWidth="0" w:num="2">
            <w:col w:w="9710" w:space="720"/>
            <w:col w:w="650"/>
          </w:cols>
          <w:pgMar w:left="320" w:top="455"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Ares Acquisition Corporation II (the “Company”) was incorporated in Cayman Islands on March 15, 2021. The Company was formed for the purpose of effecting a merger, share exchange, asset acquisition, share purchase, reorganization or similar business combination with one or more businesses (the “Business Combination”).</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or geographic region for purposes of consummating a Business Combination. The Company is an emerging growth company and, as such, the Company is subject to all of the risks associated with emerging growth companies.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March 19, 2021, the Company had not commenced any operations. All activity for the period from March 15, 2021 (inception) through March 19, 2021 relates to the Company’s formation and the proposed initial public offering (the “Proposed Public Offering”), which is described below. The Company will not generate any operating revenues until after the completion of its initial Business Combination, at the earliest. The Company anticipates it will generate non-operating income in the form of interest income from the proceeds derived from the Proposed Public Offering. The Company has selected December 31 as its fiscal year end.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87,500,000 units (the “Units” and, with respect to the shares Class A ordinary shares included in the Units being offered, the “Public Shares”) at $10.00 per Unit (or 100,625,000 Units if the underwriters’ over-allotment option is exercised in full), which is discussed in Note 3, and the sale of 15,000,000 warrants (the “Private Placement Warrants”) (or 16,750,000 Private Placement Warrants if the underwriters’ over-allotment option is exercised in full) at a price of $1.50 per Private Placement Warrant in a private placement to Ares Acquisition Holdings II LP, a Cayman Island limited partnership (the “Sponsor”), that will close simultaneously with the Proposed Public Offering, which is discussed in Note 4.</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Company’s initial Business Combination must be with one or more target businesses that together have a fair market value of at least 80% of the assets held in the Trust Account (as defined below) (excluding the deferred underwriting fees and taxes payable on the income earned on the Trust Account) at the time of the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 Upon the closing of the Proposed Public Offering, management has agreed that an amount equal to at least $10.00 per Unit sold in the Proposed Public Offering, including a portion of the proceeds from the sale of the Private Placement Warrants, will be held in a trust account (“Trust Account”), located in the United States and invested in U.S. government securities, within the meaning set forth in Section 2(a)(16) of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and (ii) the distribution of the Trust Account, as described below.</w:t>
      </w:r>
    </w:p>
    <w:p>
      <w:pPr>
        <w:spacing w:after="0" w:line="19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shareholders”) with the opportunity to redeem all or a portion of their Class A ordinary shares upon the consummation of a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convert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Financial Accounting Standards Board’s (“FASB”) Accounting Standards Codification (“ASC”) Topic 480 “Distinguishing Liabilities from Equity.”</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either immediately prior to or upon consummation of a Business Combination and, if the Company seeks shareholder approval, only if we obtain the approval of an ordinary resolution under Cayman Islands law, which requires the affirmative vote of shareholders holding a majority of ordinary shares who attend and vote at a shareholder meeting.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If the Company seeks shareholder approval in connection with a Business Combination, the Company’s Sponsor, officers and directors (the “initial shareholder”) have agreed (i) to vote their Founder Shares (as defined in Note 4) and any Public Shares acquired in or after the Proposed Public Offering in favor of a Business Combination, and (ii) not to convert any shares owned by them in connection therewith. Additionally, each public shareholder may elect to convert their Public Shares irrespective of whether they vote for or against the proposed transaction.</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conversion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converting its shares with respect to more than an aggregate of 15% or more of the Public Shares, without the prior consent of the Company.</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(i) to waive their redemption rights with respect to their Founder Shares and Public Shares held by them in connection with the completion of a Business Combination and (ii) not to propose an amendment to (a) modify the substance or timing of the Company’s obligation to provide for the redemption of its Public Shares in connection with a Business Combination or to redeem 100% of the Company’s Public Shares if the Company does not complete a Business Combination by the Combination Period (as defined below) or (b)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winding up, (ii) as promptly as reasonably possible but not more than ten business days thereafter, redeem 100% of the outstanding Public Shares for a pro rata portion of the funds held in the Trust Account including interest earned on the funds held in the Trust Account and not previously released to the Company to pay its taxes (less $100,000 of interest to pay dissolution expenses),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The initial shareholders have agreed to waive their liquidation rights with respect to the Founder Shares if the Company fails to complete a Business Combination within the Combination Period. However, if the Sponsor, officers and directors acquire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commissions (see Note</w:t>
      </w:r>
    </w:p>
    <w:p>
      <w:pPr>
        <w:spacing w:after="0" w:line="3" w:lineRule="exact"/>
        <w:rPr>
          <w:sz w:val="20"/>
          <w:szCs w:val="20"/>
          <w:color w:val="auto"/>
        </w:rPr>
      </w:pPr>
    </w:p>
    <w:p>
      <w:pPr>
        <w:ind w:left="120" w:hanging="4"/>
        <w:spacing w:after="0" w:line="253" w:lineRule="auto"/>
        <w:tabs>
          <w:tab w:leader="none" w:pos="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material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4" w:lineRule="exact"/>
        <w:rPr>
          <w:sz w:val="20"/>
          <w:szCs w:val="20"/>
          <w:color w:val="auto"/>
        </w:rPr>
      </w:pPr>
    </w:p>
    <w:p>
      <w:pPr>
        <w:ind w:left="120" w:right="7440" w:hanging="4"/>
        <w:spacing w:after="0" w:line="378" w:lineRule="auto"/>
        <w:tabs>
          <w:tab w:leader="none" w:pos="3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date of issuance of these financial statements. In connection with the Company’s assessment of going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will account for the 17,500,000 warrants (or 20,125,000 warrants if the underwriters’ overallotment option is exercised in full) and 15,000,000 Private Placement Warrants (or 16,750,000 if the underwriters’ overallotment option is exercised in full) issued in connection with the Proposed Public Offering and Private Placement in accordance with the guidance contained in FASB ASC 815 “Derivatives and Hedging” whereby under that provision the warrants do not meet the criteria for equity treatment and must be recorded as a liability. Accordingly, the Company will classify the warrant instrument as a liability at fair value and adjust the instrument to fair value at each reporting period. This liability will be re-measured at each balance sheet date until the warrants are exercised or expire, and any change in fair value will be recognized in the Company’s statement of operations. The fair value of warrants will be estimated using a valuation model that will utilize inputs such as assumed share prices, volatility, discount factors and other assumptions and may not be reflective of the price at which they can be settled. Such warrant classification is also subject to re-evaluation at each reporting period. No warrants are currently outstanding.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has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19,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ordinary shares outstanding during the period, excluding ordinary shares subject to forfeiture. Weighted average shares at March 19, 2021 were reduced for the effect of an aggregate of 3,281,250 Class B ordinary shares that are subject to forfeiture if the over-allotment option is not exercised, in full or in part, by the underwriters (see Note 6). At March 19, 2021,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266" w:lineRule="exact"/>
        <w:rPr>
          <w:sz w:val="20"/>
          <w:szCs w:val="20"/>
          <w:color w:val="auto"/>
        </w:rPr>
      </w:pPr>
    </w:p>
    <w:p>
      <w:pPr>
        <w:ind w:left="120" w:right="8100" w:hanging="4"/>
        <w:spacing w:after="0" w:line="377" w:lineRule="auto"/>
        <w:tabs>
          <w:tab w:leader="none" w:pos="3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PUBLIC OFFERING Public Units</w:t>
      </w:r>
    </w:p>
    <w:p>
      <w:pPr>
        <w:spacing w:after="0" w:line="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87,500,000 Units (or 100,625,000 Units if the underwriters’ over-allotment option is exercised in full) at a purchase price of $10.00 per Unit. Each Unit consists of one Class A ordinary share and one-fifth of one redeemable warrant (“Public Warrant”). Each whole Public Warrant entitles the holder to purchase one Class A ordinary share at a price of $11.50 per share, subject to adjustment (see Note 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shares will be issued upon exercise of the Public Warrants. The Public Warrants will become exercisable on the later of (i) 30 days after the completion of a Business Combination or (ii) 12 months from the closing of the Proposed Public Offering. The Public Warrants will expire five years after the completion of a Business Combination or earlier upon redemption or liquidation.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Class A ordinary shares upon exercise of a warrant unless the Class A ordinary shares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warrants. The Company will use its best efforts to cause the same to become effective within 60 days after such closing, and to maintain the effectiveness of such registration statement, and a current prospectus relating thereto, until the expiration of the warrants in accordance with the provisions of the warrant agreement. Notwithstanding the above, if the Class A ordinary shares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be required to use its best efforts to register or qualify the shares under applicable blue sky laws to the extent an exemption is not available.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131"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Company’s Class A ordinary shares equals or exceeds $18.00 per share for any 20 trading days within a 30-trading day period ending three business days prior to the date on which the Company sends the notice of redemption to the warrant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(i)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its affiliates, prior to such issuance) (the “Newly Issued Price”), (ii) the aggregate gross proceeds from such issuances represent more than 60% of the total equity proceeds, and interest thereon, available for the funding of a Business Combination on the date of the consummation of a Business Combination (net of redemptions), and (iii)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9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Private Placement Warrants (Note 4)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or recapitalization, reorganization, merger or consolidation. However, the warrants will not be adjusted for issuance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6" w:lineRule="exact"/>
        <w:rPr>
          <w:sz w:val="20"/>
          <w:szCs w:val="20"/>
          <w:color w:val="auto"/>
        </w:rPr>
      </w:pPr>
    </w:p>
    <w:p>
      <w:pPr>
        <w:ind w:left="120" w:right="7840" w:hanging="4"/>
        <w:spacing w:after="0" w:line="378" w:lineRule="auto"/>
        <w:tabs>
          <w:tab w:leader="none" w:pos="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Founder Shares</w:t>
      </w: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19, 2021, the Company issued 25,156,250 shares of Class B ordinary shares to the Sponsor (the “Founder Shares”) in exchange for a capital contribution of $25,000. The Sponsor has agreed to forfeit up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3,281,250 Founder Shares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 If the Company increases or decreases the size of the offering, the Company will effect a share capitalization or a share redemption or other appropriate mechanism,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The Founder Shares will automatically convert into Class A ordinary shares upon consummation of a Business Combination on a one-for-one basis, subject to certain adjustments, as described in Note 6.</w:t>
      </w:r>
    </w:p>
    <w:p>
      <w:pPr>
        <w:spacing w:after="0" w:line="19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initial shareholders have agreed not to transfer, assign or sell any of the Founder Shares (except to certain permitted transferees) until the earlier of (i) one year after the date of the consummation of a Business Combination, or (ii) subsequent to the consummation of a Business Combination,</w:t>
      </w:r>
    </w:p>
    <w:p>
      <w:pPr>
        <w:spacing w:after="0" w:line="1" w:lineRule="exact"/>
        <w:rPr>
          <w:sz w:val="20"/>
          <w:szCs w:val="20"/>
          <w:color w:val="auto"/>
        </w:rPr>
      </w:pPr>
    </w:p>
    <w:p>
      <w:pPr>
        <w:ind w:left="120" w:right="100" w:hanging="4"/>
        <w:spacing w:after="0" w:line="253" w:lineRule="auto"/>
        <w:tabs>
          <w:tab w:leader="none" w:pos="3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Company’s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(b) subsequent to a Business Combination, the date on which the Company completes a liquidation, merger, share exchange or other similar transaction which results in all of the Company’s shareholders having the right to exchange their ordinary shares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March 19, 2021, the Company issued a promissory note to the Sponsor, pursuant to which the Sponsor agreed to loan the Company up to an aggregate of $300,000 to be used for the payment of costs related to the Proposed Public Offering (the “Promissory Note”). The Promissory Note is non-interest bearing, unsecured and due on the earlier of December 31, 2021 or the completion of the Proposed Public Offering. As of March 19, 2021, no amounts are outstanding under the Promissory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Sponsor has agreed to purchase an aggregate of 15,000,000 Private Placement Warrants (or 16,750,000 Private Placement Warrants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at a price of $1.50 per Private Placement Warrant, for an aggregate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$22,500,000 (or $25,125,000 if the underwriters’ over-allotment option is exercised in full), in a private placement that will occur simultaneously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of the Proposed Public Offering. Each Private Placement Warrant is exercisable to purchase one Class A ordinary share at a price of $11.50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 portion of the proceeds from the Private Placement Warrants will be added to the proceeds from the Proposed Public Offering to be held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If the Company does not complete a Business Combination within the Combination Period, the proceeds of the sale of the Private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Placement Warrants will be used to fund the redemption of the Public Shares (subject to the requirements of applicable law), and the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will expire worthless.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$1.50 per warrant. The warrants would be identical to the Private Placement Warrants. At March 19, 2021, no Working Capital Loans were outstanding.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commencing on the date of the prospectus, to pay an affiliate of the sponsor, a monthly fee of $16,667 for general and administrative services including office space, utilities and secretarial support. This arrangement will terminate upon completion of a Business Combination or the distribution of the trust account to the public shareholders.</w:t>
      </w:r>
    </w:p>
    <w:p>
      <w:pPr>
        <w:spacing w:after="0" w:line="280" w:lineRule="exact"/>
        <w:rPr>
          <w:sz w:val="20"/>
          <w:szCs w:val="20"/>
          <w:color w:val="auto"/>
        </w:rPr>
      </w:pPr>
    </w:p>
    <w:p>
      <w:pPr>
        <w:ind w:left="120" w:right="7380" w:hanging="4"/>
        <w:spacing w:after="0" w:line="377" w:lineRule="auto"/>
        <w:tabs>
          <w:tab w:leader="none" w:pos="3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Registration Rights</w:t>
      </w:r>
    </w:p>
    <w:p>
      <w:pPr>
        <w:spacing w:after="0" w:line="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the Class A ordinary shares underlying such Private Placement Warrants) and Private Placement Warrants that may be issued upon conversion of Working Capital Loans will have registration rights to require the Company to register a sale of any of its securities held by them pursuant to a registration rights agreement to be signed prior to or on the effective date of Proposed Public Offering. The holders of these securities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subject to certain limitations.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Proposed Public Offering to purchase up to 13,125,000 additional Units to cover over-allotments, if any, at the Proposed Public Offering price less the underwriting discounts and commissions.</w:t>
      </w:r>
    </w:p>
    <w:p>
      <w:pPr>
        <w:spacing w:after="0" w:line="162"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The underwriters will be entitled to a cash underwriting discount of $0.20 per Unit, or $17,500,000 in the aggregate (or $20,125,000 in the aggregate if the underwriters’ option to purchase additional Units is exercised in full), payable upon the closing of the Proposed Public Offering. In addition, the underwriters will be entitled to a deferred fee of $0.35 per Unit, or $30,625,000 in the aggregate (or $35,218,750 in the aggregate if the underwriters’ option to purchase additional Units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and has concluded that while it is reasonable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1,000,000 preference shares with a par value of $0.0001 per share with such designation,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preferences as may be determined from time to time by the Company’s Board of Directors. At March 19, 2021, there were no preference shares issued or outstanding.</w:t>
      </w:r>
    </w:p>
    <w:p>
      <w:pPr>
        <w:spacing w:after="0" w:line="171" w:lineRule="exact"/>
        <w:rPr>
          <w:sz w:val="20"/>
          <w:szCs w:val="20"/>
          <w:color w:val="auto"/>
        </w:rPr>
      </w:pPr>
    </w:p>
    <w:p>
      <w:pPr>
        <w:ind w:left="120" w:right="5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300,000,000 Class A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ordinary shares are entitled to one vote for each share. At March 19, 2021, there were no Class A ordinary shares issued or outstanding.</w:t>
      </w:r>
    </w:p>
    <w:p>
      <w:pPr>
        <w:spacing w:after="0" w:line="171"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—The Company is authorized to issue 30,000,000 Class B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Company’s Class B ordinary shares are entitled to one vote for each common share. At March 19, 2021, there were 25,156,250 Class B ordinary shares issued and outstanding, of which 3,281,250 shares are subject to forfeiture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Class B ordinary shares will vote on the election of directors prior to the consummation of a Business Combination. Holders of Class A ordinary shares and Class B ordinary shares will vote together as a single class on all other matters submitted to a vote of shareholders except as required by law.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 Business Combination on a one-for-one basis, subject to adjustment. In the case that additional Class A ordinary shares or equity-linked securities are issued or deemed issued in excess of the amounts offered in the Proposed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as-converted basis, 20% of the sum of the total number of all ordinary shares outstanding upon completion of the Proposed Public offering plus all Class A ordinary shares and equity-linked securities issued or deemed issued in connection with a Business Combination (excluding any shares or equity-linked securities issued, or to be issued, to any seller in a Business Combination and any private placement-equivalent warrants issued to the Sponsor or its affiliates upon conversion of loans made to the Company).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May 14, 2021, the date that the financial statements were available to be issued. The Company did not identify any subsequent events that would have required adjustment or disclosure in the financial statements.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April 12, 2021, the SEC issued a statement with respect to the accounting for warrants issued by special purchase acquisition companies. In light of the SEC Staff’s Statement, the Company has determined that the fair value of the warrants should be classified as a warrant liability on the Company’s balance sheet as of the closing of the Proposed Public Offering that will be filed on Form 8-K. Subsequent changes to the fair value of the warrants will be recorded in the Company’s statement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87,500,000 Units</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2324735</wp:posOffset>
            </wp:positionV>
            <wp:extent cx="1474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Until , 2021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372110</wp:posOffset>
            </wp:positionV>
            <wp:extent cx="1474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13. Other Expenses of Issuance and Distribution.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109,782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151,438</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road show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 &amp; Officers liability insurance premiums</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1,648,780</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annualized director and officer liability insurance premiums we anticipate paying following the completion of this offering and until we complete a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14. Indemnification of Directors and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15. Recent Sales of Unregistered Securities.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Up to 3,281,250 founder shares are subject to forfeiture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depending on the extent to which the underwriters’ over-allotment option is exercised. Such securities were issued in connection with our organization pursuant to the exemption from registration contained in Section 4(a)(2) of the Securities Act. If we increase or decrease the size of this offering, we will effect a share capitalization or a share repurchase or redemption or other appropriate mechanism, as applicable, with respect to our Class B ordinary shares prior to the consummation of this offering in such amount as to maintain the number of founder shares at 20% of the total number of Class A ordinary shares and Class B ordinary shares outstanding at such time (assuming the underwriters exercise their option to purchase additional units in full).</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15,000,000 private placement warrants (or 16,750,000 private placement warrants if the underwriters’ over-allotment option is exercised in full), each exercisable to purchase one Class A ordinary share at $11.50 per share, at a price of $1.50 per warrant ($22,500,000 in the aggregate or $25,125,000 if the underwriters’ over-allotment option is exercised in full), in a private placement that will close simultaneously with the closing of this offering. These issuances will be made pursuant to the exemption from registration contained in Section 4(a)(2) of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16. 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is incorporated herein by reference.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17. Undertakings.</w:t>
      </w:r>
    </w:p>
    <w:p>
      <w:pPr>
        <w:spacing w:after="0" w:line="135" w:lineRule="exact"/>
        <w:rPr>
          <w:sz w:val="20"/>
          <w:szCs w:val="20"/>
          <w:color w:val="auto"/>
        </w:rPr>
      </w:pPr>
    </w:p>
    <w:p>
      <w:pPr>
        <w:ind w:left="1080" w:right="520" w:hanging="532"/>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81"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1"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540" w:right="460" w:hanging="439"/>
        <w:spacing w:after="0" w:line="266" w:lineRule="auto"/>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3"/>
          </w:tcPr>
          <w:p>
            <w:pPr>
              <w:ind w:left="5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8"/>
        </w:trPr>
        <w:tc>
          <w:tcPr>
            <w:tcW w:w="7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1.1*</w:t>
            </w:r>
          </w:p>
        </w:tc>
        <w:tc>
          <w:tcPr>
            <w:tcW w:w="52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Class A Ordinary Share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Warrant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Warrant Agreement between Continental Stock Transfer &amp; Trust Company and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Opinion of Maples and Calder, Cayman Islands Legal Counsel to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w w:val="99"/>
              </w:rPr>
              <w:t>Form of Registration and Shareholder Rights Agreement among the Registrant, the Sponsor and the Holders signatory thereto.</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Private Placement Warrants Purchase Agreement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10.5*</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Administrative Services Agreement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10.6*</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Promissory Note, dated as of March 19, 2021,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10.7*</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Securities Subscription Agreement, dated March 19, 2021,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10.8*</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Letter Agreement between the Registrant and the Sponsor and each director and executive officer of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WithumSmith+Brown, PC.</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Kirkland &amp; Ellis LLP (included on Exhibit 5.1).</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Maples and Calder (included on Exhibit 5.2).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780"/>
          </w:cols>
          <w:pgMar w:left="320" w:top="455" w:right="7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in the city of New York, State of New York, on the   day of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B. Kaplan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David B. Kaplan and Jarrod Phillips,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6142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David B.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6142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Jarrod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6142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color w:val="auto"/>
        </w:rPr>
        <w:t>Michael J Arougheti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26142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Co-Chairman</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4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20"/>
                <w:szCs w:val="20"/>
                <w:color w:val="auto"/>
              </w:rPr>
            </w:pPr>
          </w:p>
        </w:tc>
      </w:tr>
      <w:tr>
        <w:trPr>
          <w:trHeight w:val="45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Co-Chairman</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 w:lineRule="exact"/>
        <w:rPr>
          <w:sz w:val="20"/>
          <w:szCs w:val="20"/>
          <w:color w:val="auto"/>
        </w:rPr>
      </w:pPr>
    </w:p>
    <w:sectPr>
      <w:pgSz w:w="11900" w:h="16838" w:orient="portrait"/>
      <w:cols w:equalWidth="0" w:num="2">
        <w:col w:w="3620" w:space="720"/>
        <w:col w:w="680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ldblquote"/>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1)"/>
      <w:numFmt w:val="decimal"/>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1)"/>
      <w:numFmt w:val="lowerLetter"/>
      <w:start w:val="25"/>
    </w:lvl>
  </w:abstractNum>
  <w:abstractNum w:abstractNumId="27">
    <w:nsid w:val="1F48EAA1"/>
    <w:multiLevelType w:val="hybridMultilevel"/>
    <w:lvl w:ilvl="0">
      <w:lvlJc w:val="left"/>
      <w:lvlText w:val="(%1)"/>
      <w:numFmt w:val="lowerRoman"/>
      <w:start w:val="2"/>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1)"/>
      <w:numFmt w:val="decimal"/>
      <w:start w:val="3"/>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decimal"/>
      <w:start w:val="419"/>
    </w:lvl>
  </w:abstractNum>
  <w:abstractNum w:abstractNumId="50">
    <w:nsid w:val="8F2B15E"/>
    <w:multiLevelType w:val="hybridMultilevel"/>
    <w:lvl w:ilvl="0">
      <w:lvlJc w:val="left"/>
      <w:lvlText w:val="(%1)"/>
      <w:numFmt w:val="upperLetter"/>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1)"/>
      <w:numFmt w:val="decimal"/>
      <w:start w:val="1"/>
    </w:lvl>
    <w:lvl w:ilvl="1">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4"/>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1)"/>
      <w:numFmt w:val="lowerLetter"/>
      <w:start w:val="2"/>
    </w:lvl>
  </w:abstractNum>
  <w:abstractNum w:abstractNumId="68">
    <w:nsid w:val="4C04A8AF"/>
    <w:multiLevelType w:val="hybridMultilevel"/>
    <w:lvl w:ilvl="0">
      <w:lvlJc w:val="left"/>
      <w:lvlText w:val="(%1)"/>
      <w:numFmt w:val="upperLetter"/>
      <w:start w:val="1"/>
    </w:lvl>
  </w:abstractNum>
  <w:abstractNum w:abstractNumId="69">
    <w:nsid w:val="1716703B"/>
    <w:multiLevelType w:val="hybridMultilevel"/>
    <w:lvl w:ilvl="0">
      <w:lvlJc w:val="left"/>
      <w:lvlText w:val="(%1)"/>
      <w:numFmt w:val="lowerRoman"/>
      <w:start w:val="1"/>
    </w:lvl>
  </w:abstractNum>
  <w:abstractNum w:abstractNumId="70">
    <w:nsid w:val="14E17E33"/>
    <w:multiLevelType w:val="hybridMultilevel"/>
    <w:lvl w:ilvl="0">
      <w:lvlJc w:val="left"/>
      <w:lvlText w:val="(%1)"/>
      <w:numFmt w:val="lowerLetter"/>
      <w:start w:val="5"/>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3"/>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1)"/>
      <w:numFmt w:val="decimal"/>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1)"/>
      <w:numFmt w:val="decimal"/>
      <w:start w:val="5"/>
    </w:lvl>
  </w:abstractNum>
  <w:abstractNum w:abstractNumId="97">
    <w:nsid w:val="7DE67713"/>
    <w:multiLevelType w:val="hybridMultilevel"/>
    <w:lvl w:ilvl="0">
      <w:lvlJc w:val="left"/>
      <w:lvlText w:val="%1."/>
      <w:numFmt w:val="decimal"/>
      <w:start w:val="2"/>
    </w:lvl>
  </w:abstractNum>
  <w:abstractNum w:abstractNumId="98">
    <w:nsid w:val="555C55B5"/>
    <w:multiLevelType w:val="hybridMultilevel"/>
    <w:lvl w:ilvl="0">
      <w:lvlJc w:val="left"/>
      <w:lvlText w:val="%1."/>
      <w:numFmt w:val="decimal"/>
      <w:start w:val="3"/>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1."/>
      <w:numFmt w:val="decimal"/>
      <w:start w:val="4"/>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decimal"/>
      <w:start w:val="5"/>
    </w:lvl>
  </w:abstractNum>
  <w:abstractNum w:abstractNumId="103">
    <w:nsid w:val="9DAF632"/>
    <w:multiLevelType w:val="hybridMultilevel"/>
    <w:lvl w:ilvl="0">
      <w:lvlJc w:val="left"/>
      <w:lvlText w:val="(%1)"/>
      <w:numFmt w:val="decimal"/>
      <w:start w:val="1"/>
    </w:lvl>
  </w:abstractNum>
  <w:abstractNum w:abstractNumId="104">
    <w:nsid w:val="53299938"/>
    <w:multiLevelType w:val="hybridMultilevel"/>
    <w:lvl w:ilvl="0">
      <w:lvlJc w:val="left"/>
      <w:lvlText w:val="(%1)"/>
      <w:numFmt w:val="lowerRoman"/>
      <w:start w:val="1"/>
    </w:lvl>
  </w:abstractNum>
  <w:abstractNum w:abstractNumId="105">
    <w:nsid w:val="1FBFE8E0"/>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2023-04-03T00:16:58Z</dcterms:created>
  <dcterms:modified xsi:type="dcterms:W3CDTF">2023-04-03T00:16:58Z</dcterms:modified>
</cp:coreProperties>
</file>