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3225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3225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Burnette Donald 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KODIAK AI,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1049 TERRA BELLA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Kodiak AI,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KDK</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4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07/01/2026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1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700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1"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6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80" w:type="dxa"/>
        <w:tblCellMar>
          <w:top w:w="0" w:type="dxa"/>
          <w:left w:w="0" w:type="dxa"/>
          <w:bottom w:w="0" w:type="dxa"/>
          <w:right w:w="0" w:type="dxa"/>
        </w:tblCellMar>
      </w:tblPr>
      <w:tr>
        <w:trPr>
          <w:trHeight w:val="47"/>
        </w:trPr>
        <w:tc>
          <w:tcPr>
            <w:tcW w:w="40" w:type="dxa"/>
            <w:vAlign w:val="bottom"/>
          </w:tcPr>
          <w:p>
            <w:pPr>
              <w:spacing w:after="0"/>
              <w:rPr>
                <w:sz w:val="4"/>
                <w:szCs w:val="4"/>
                <w:color w:val="auto"/>
              </w:rPr>
            </w:pPr>
          </w:p>
        </w:tc>
        <w:tc>
          <w:tcPr>
            <w:tcW w:w="364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3680" w:type="dxa"/>
            <w:vAlign w:val="bottom"/>
            <w:tcBorders>
              <w:top w:val="single" w:sz="8" w:color="2C2C2C"/>
              <w:bottom w:val="single" w:sz="8" w:color="2C2C2C"/>
            </w:tcBorders>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440" w:type="dxa"/>
            <w:vAlign w:val="bottom"/>
            <w:tcBorders>
              <w:top w:val="single" w:sz="8" w:color="2C2C2C"/>
              <w:bottom w:val="single" w:sz="8" w:color="2C2C2C"/>
            </w:tcBorders>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640" w:type="dxa"/>
            <w:vAlign w:val="bottom"/>
            <w:shd w:val="clear" w:color="auto" w:fill="EEEE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80" w:type="dxa"/>
            <w:vAlign w:val="bottom"/>
            <w:vMerge w:val="continue"/>
          </w:tcPr>
          <w:p>
            <w:pPr>
              <w:spacing w:after="0" w:line="20" w:lineRule="exact"/>
              <w:rPr>
                <w:sz w:val="1"/>
                <w:szCs w:val="1"/>
                <w:color w:val="auto"/>
              </w:rPr>
            </w:pPr>
          </w:p>
        </w:tc>
        <w:tc>
          <w:tcPr>
            <w:tcW w:w="34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368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80" w:type="dxa"/>
            <w:vAlign w:val="bottom"/>
          </w:tcPr>
          <w:p>
            <w:pPr>
              <w:spacing w:after="0"/>
              <w:rPr>
                <w:sz w:val="11"/>
                <w:szCs w:val="11"/>
                <w:color w:val="auto"/>
              </w:rPr>
            </w:pPr>
          </w:p>
        </w:tc>
        <w:tc>
          <w:tcPr>
            <w:tcW w:w="3680" w:type="dxa"/>
            <w:vAlign w:val="bottom"/>
            <w:vMerge w:val="continue"/>
          </w:tcPr>
          <w:p>
            <w:pPr>
              <w:spacing w:after="0"/>
              <w:rPr>
                <w:sz w:val="11"/>
                <w:szCs w:val="11"/>
                <w:color w:val="auto"/>
              </w:rPr>
            </w:pPr>
          </w:p>
        </w:tc>
        <w:tc>
          <w:tcPr>
            <w:tcW w:w="3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36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3440" w:type="dxa"/>
            <w:vAlign w:val="bottom"/>
            <w:vMerge w:val="restart"/>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30"/>
        </w:trPr>
        <w:tc>
          <w:tcPr>
            <w:tcW w:w="40" w:type="dxa"/>
            <w:vAlign w:val="bottom"/>
          </w:tcPr>
          <w:p>
            <w:pPr>
              <w:spacing w:after="0"/>
              <w:rPr>
                <w:sz w:val="2"/>
                <w:szCs w:val="2"/>
                <w:color w:val="auto"/>
              </w:rPr>
            </w:pPr>
          </w:p>
        </w:tc>
        <w:tc>
          <w:tcPr>
            <w:tcW w:w="36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80" w:type="dxa"/>
            <w:vAlign w:val="bottom"/>
          </w:tcPr>
          <w:p>
            <w:pPr>
              <w:spacing w:after="0"/>
              <w:rPr>
                <w:sz w:val="2"/>
                <w:szCs w:val="2"/>
                <w:color w:val="auto"/>
              </w:rPr>
            </w:pPr>
          </w:p>
        </w:tc>
        <w:tc>
          <w:tcPr>
            <w:tcW w:w="3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 w:lineRule="exact"/>
        <w:rPr>
          <w:sz w:val="24"/>
          <w:szCs w:val="24"/>
          <w:color w:val="auto"/>
        </w:rPr>
      </w:pPr>
    </w:p>
    <w:tbl>
      <w:tblPr>
        <w:tblLayout w:type="fixed"/>
        <w:tblInd w:w="120" w:type="dxa"/>
        <w:tblCellMar>
          <w:top w:w="0" w:type="dxa"/>
          <w:left w:w="0" w:type="dxa"/>
          <w:bottom w:w="0" w:type="dxa"/>
          <w:right w:w="0" w:type="dxa"/>
        </w:tblCellMar>
      </w:tblPr>
      <w:tr>
        <w:trPr>
          <w:trHeight w:val="193"/>
        </w:trPr>
        <w:tc>
          <w:tcPr>
            <w:tcW w:w="10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MOUNTAN</w:t>
            </w:r>
          </w:p>
        </w:tc>
        <w:tc>
          <w:tcPr>
            <w:tcW w:w="100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94043</w:t>
            </w:r>
          </w:p>
        </w:tc>
        <w:tc>
          <w:tcPr>
            <w:tcW w:w="6820" w:type="dxa"/>
            <w:vAlign w:val="bottom"/>
            <w:vMerge w:val="restart"/>
          </w:tcPr>
          <w:p>
            <w:pPr>
              <w:ind w:left="45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95"/>
        </w:trPr>
        <w:tc>
          <w:tcPr>
            <w:tcW w:w="10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VIEW</w:t>
            </w:r>
          </w:p>
        </w:tc>
        <w:tc>
          <w:tcPr>
            <w:tcW w:w="1000" w:type="dxa"/>
            <w:vAlign w:val="bottom"/>
            <w:vMerge w:val="continue"/>
          </w:tcPr>
          <w:p>
            <w:pPr>
              <w:spacing w:after="0"/>
              <w:rPr>
                <w:sz w:val="8"/>
                <w:szCs w:val="8"/>
                <w:color w:val="auto"/>
              </w:rPr>
            </w:pPr>
          </w:p>
        </w:tc>
        <w:tc>
          <w:tcPr>
            <w:tcW w:w="1600" w:type="dxa"/>
            <w:vAlign w:val="bottom"/>
            <w:vMerge w:val="continue"/>
          </w:tcPr>
          <w:p>
            <w:pPr>
              <w:spacing w:after="0"/>
              <w:rPr>
                <w:sz w:val="8"/>
                <w:szCs w:val="8"/>
                <w:color w:val="auto"/>
              </w:rPr>
            </w:pPr>
          </w:p>
        </w:tc>
        <w:tc>
          <w:tcPr>
            <w:tcW w:w="6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7"/>
        </w:trPr>
        <w:tc>
          <w:tcPr>
            <w:tcW w:w="1040" w:type="dxa"/>
            <w:vAlign w:val="bottom"/>
            <w:vMerge w:val="continue"/>
          </w:tcPr>
          <w:p>
            <w:pPr>
              <w:spacing w:after="0"/>
              <w:rPr>
                <w:sz w:val="12"/>
                <w:szCs w:val="12"/>
                <w:color w:val="auto"/>
              </w:rPr>
            </w:pPr>
          </w:p>
        </w:tc>
        <w:tc>
          <w:tcPr>
            <w:tcW w:w="10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6820" w:type="dxa"/>
            <w:vAlign w:val="bottom"/>
          </w:tcPr>
          <w:p>
            <w:pPr>
              <w:ind w:left="4500"/>
              <w:spacing w:after="0" w:line="147"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9"/>
        </w:trPr>
        <w:tc>
          <w:tcPr>
            <w:tcW w:w="104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6820" w:type="dxa"/>
            <w:vAlign w:val="bottom"/>
          </w:tcPr>
          <w:p>
            <w:pPr>
              <w:ind w:left="4500"/>
              <w:spacing w:after="0" w:line="113" w:lineRule="exact"/>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6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0"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20" w:type="dxa"/>
            <w:vAlign w:val="bottom"/>
          </w:tcPr>
          <w:p>
            <w:pPr>
              <w:ind w:left="30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20" w:type="dxa"/>
            <w:vAlign w:val="bottom"/>
          </w:tcPr>
          <w:p>
            <w:pPr>
              <w:spacing w:after="0"/>
              <w:rPr>
                <w:sz w:val="20"/>
                <w:szCs w:val="20"/>
                <w:color w:val="auto"/>
              </w:rPr>
            </w:pPr>
            <w:r>
              <w:rPr>
                <w:rFonts w:ascii="Arial" w:cs="Arial" w:eastAsia="Arial" w:hAnsi="Arial"/>
                <w:sz w:val="12"/>
                <w:szCs w:val="12"/>
                <w:b w:val="1"/>
                <w:bCs w:val="1"/>
                <w:color w:val="auto"/>
                <w:w w:val="99"/>
              </w:rPr>
              <w:t>3.</w:t>
            </w:r>
          </w:p>
        </w:tc>
        <w:tc>
          <w:tcPr>
            <w:tcW w:w="620" w:type="dxa"/>
            <w:vAlign w:val="bottom"/>
          </w:tcPr>
          <w:p>
            <w:pPr>
              <w:spacing w:after="0"/>
              <w:rPr>
                <w:sz w:val="12"/>
                <w:szCs w:val="12"/>
                <w:color w:val="auto"/>
              </w:rPr>
            </w:pPr>
          </w:p>
        </w:tc>
        <w:tc>
          <w:tcPr>
            <w:tcW w:w="200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2"/>
                <w:szCs w:val="12"/>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  if any</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9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3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3"/>
              </w:rPr>
              <w:t>(D) or</w:t>
            </w:r>
          </w:p>
        </w:tc>
        <w:tc>
          <w:tcPr>
            <w:tcW w:w="580" w:type="dxa"/>
            <w:vAlign w:val="bottom"/>
          </w:tcPr>
          <w:p>
            <w:pPr>
              <w:spacing w:after="0"/>
              <w:rPr>
                <w:sz w:val="11"/>
                <w:szCs w:val="11"/>
                <w:color w:val="auto"/>
              </w:rPr>
            </w:pP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spacing w:after="0" w:line="133" w:lineRule="exact"/>
              <w:rPr>
                <w:sz w:val="20"/>
                <w:szCs w:val="20"/>
                <w:color w:val="auto"/>
              </w:rPr>
            </w:pPr>
            <w:r>
              <w:rPr>
                <w:rFonts w:ascii="Arial" w:cs="Arial" w:eastAsia="Arial" w:hAnsi="Arial"/>
                <w:sz w:val="12"/>
                <w:szCs w:val="12"/>
                <w:b w:val="1"/>
                <w:bCs w:val="1"/>
                <w:color w:val="auto"/>
                <w:w w:val="93"/>
              </w:rPr>
              <w:t>8)</w:t>
            </w:r>
          </w:p>
        </w:tc>
        <w:tc>
          <w:tcPr>
            <w:tcW w:w="6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64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Borders>
              <w:bottom w:val="single" w:sz="8" w:color="808080"/>
            </w:tcBorders>
          </w:tcPr>
          <w:p>
            <w:pPr>
              <w:spacing w:after="0"/>
              <w:rPr>
                <w:sz w:val="13"/>
                <w:szCs w:val="13"/>
                <w:color w:val="auto"/>
              </w:rPr>
            </w:pPr>
          </w:p>
        </w:tc>
        <w:tc>
          <w:tcPr>
            <w:tcW w:w="120" w:type="dxa"/>
            <w:vAlign w:val="bottom"/>
            <w:tcBorders>
              <w:bottom w:val="single" w:sz="8" w:color="808080"/>
            </w:tcBorders>
          </w:tcPr>
          <w:p>
            <w:pPr>
              <w:spacing w:after="0"/>
              <w:rPr>
                <w:sz w:val="13"/>
                <w:szCs w:val="13"/>
                <w:color w:val="auto"/>
              </w:rPr>
            </w:pPr>
          </w:p>
        </w:tc>
        <w:tc>
          <w:tcPr>
            <w:tcW w:w="620" w:type="dxa"/>
            <w:vAlign w:val="bottom"/>
            <w:tcBorders>
              <w:bottom w:val="single" w:sz="8" w:color="808080"/>
            </w:tcBorders>
          </w:tcPr>
          <w:p>
            <w:pPr>
              <w:spacing w:after="0"/>
              <w:rPr>
                <w:sz w:val="13"/>
                <w:szCs w:val="13"/>
                <w:color w:val="auto"/>
              </w:rPr>
            </w:pPr>
          </w:p>
        </w:tc>
        <w:tc>
          <w:tcPr>
            <w:tcW w:w="940" w:type="dxa"/>
            <w:vAlign w:val="bottom"/>
            <w:tcBorders>
              <w:bottom w:val="single" w:sz="8" w:color="808080"/>
            </w:tcBorders>
          </w:tcPr>
          <w:p>
            <w:pPr>
              <w:spacing w:after="0"/>
              <w:rPr>
                <w:sz w:val="13"/>
                <w:szCs w:val="13"/>
                <w:color w:val="auto"/>
              </w:rPr>
            </w:pPr>
          </w:p>
        </w:tc>
        <w:tc>
          <w:tcPr>
            <w:tcW w:w="320" w:type="dxa"/>
            <w:vAlign w:val="bottom"/>
            <w:tcBorders>
              <w:bottom w:val="single" w:sz="8" w:color="808080"/>
            </w:tcBorders>
          </w:tcPr>
          <w:p>
            <w:pPr>
              <w:spacing w:after="0"/>
              <w:rPr>
                <w:sz w:val="13"/>
                <w:szCs w:val="13"/>
                <w:color w:val="auto"/>
              </w:rPr>
            </w:pPr>
          </w:p>
        </w:tc>
        <w:tc>
          <w:tcPr>
            <w:tcW w:w="360" w:type="dxa"/>
            <w:vAlign w:val="bottom"/>
            <w:tcBorders>
              <w:bottom w:val="single" w:sz="8" w:color="808080"/>
            </w:tcBorders>
          </w:tcPr>
          <w:p>
            <w:pPr>
              <w:spacing w:after="0"/>
              <w:rPr>
                <w:sz w:val="13"/>
                <w:szCs w:val="13"/>
                <w:color w:val="auto"/>
              </w:rPr>
            </w:pPr>
          </w:p>
        </w:tc>
        <w:tc>
          <w:tcPr>
            <w:tcW w:w="30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140" w:type="dxa"/>
            <w:vAlign w:val="bottom"/>
            <w:tcBorders>
              <w:bottom w:val="single" w:sz="8" w:color="808080"/>
            </w:tcBorders>
          </w:tcPr>
          <w:p>
            <w:pPr>
              <w:spacing w:after="0"/>
              <w:rPr>
                <w:sz w:val="13"/>
                <w:szCs w:val="13"/>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Borders>
              <w:top w:val="single" w:sz="8" w:color="2C2C2C"/>
            </w:tcBorders>
          </w:tcPr>
          <w:p>
            <w:pPr>
              <w:spacing w:after="0"/>
              <w:rPr>
                <w:sz w:val="7"/>
                <w:szCs w:val="7"/>
                <w:color w:val="auto"/>
              </w:rPr>
            </w:pPr>
          </w:p>
        </w:tc>
        <w:tc>
          <w:tcPr>
            <w:tcW w:w="120" w:type="dxa"/>
            <w:vAlign w:val="bottom"/>
            <w:tcBorders>
              <w:top w:val="single" w:sz="8" w:color="2C2C2C"/>
            </w:tcBorders>
          </w:tcPr>
          <w:p>
            <w:pPr>
              <w:spacing w:after="0"/>
              <w:rPr>
                <w:sz w:val="7"/>
                <w:szCs w:val="7"/>
                <w:color w:val="auto"/>
              </w:rPr>
            </w:pPr>
          </w:p>
        </w:tc>
        <w:tc>
          <w:tcPr>
            <w:tcW w:w="620" w:type="dxa"/>
            <w:vAlign w:val="bottom"/>
            <w:tcBorders>
              <w:top w:val="single" w:sz="8" w:color="2C2C2C"/>
            </w:tcBorders>
          </w:tcPr>
          <w:p>
            <w:pPr>
              <w:spacing w:after="0"/>
              <w:rPr>
                <w:sz w:val="7"/>
                <w:szCs w:val="7"/>
                <w:color w:val="auto"/>
              </w:rPr>
            </w:pPr>
          </w:p>
        </w:tc>
        <w:tc>
          <w:tcPr>
            <w:tcW w:w="940" w:type="dxa"/>
            <w:vAlign w:val="bottom"/>
            <w:tcBorders>
              <w:top w:val="single" w:sz="8" w:color="2C2C2C"/>
            </w:tcBorders>
          </w:tcPr>
          <w:p>
            <w:pPr>
              <w:spacing w:after="0"/>
              <w:rPr>
                <w:sz w:val="7"/>
                <w:szCs w:val="7"/>
                <w:color w:val="auto"/>
              </w:rPr>
            </w:pPr>
          </w:p>
        </w:tc>
        <w:tc>
          <w:tcPr>
            <w:tcW w:w="680" w:type="dxa"/>
            <w:vAlign w:val="bottom"/>
            <w:tcBorders>
              <w:top w:val="single" w:sz="8" w:color="2C2C2C"/>
            </w:tcBorders>
            <w:gridSpan w:val="2"/>
            <w:vMerge w:val="restart"/>
          </w:tcPr>
          <w:p>
            <w:pPr>
              <w:ind w:left="220"/>
              <w:spacing w:after="0"/>
              <w:rPr>
                <w:sz w:val="20"/>
                <w:szCs w:val="20"/>
                <w:color w:val="auto"/>
              </w:rPr>
            </w:pPr>
            <w:r>
              <w:rPr>
                <w:rFonts w:ascii="Arial" w:cs="Arial" w:eastAsia="Arial" w:hAnsi="Arial"/>
                <w:sz w:val="12"/>
                <w:szCs w:val="12"/>
                <w:b w:val="1"/>
                <w:bCs w:val="1"/>
                <w:color w:val="auto"/>
              </w:rPr>
              <w:t>(A) or</w:t>
            </w:r>
          </w:p>
        </w:tc>
        <w:tc>
          <w:tcPr>
            <w:tcW w:w="30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140" w:type="dxa"/>
            <w:vAlign w:val="bottom"/>
            <w:tcBorders>
              <w:top w:val="single" w:sz="8" w:color="2C2C2C"/>
            </w:tcBorders>
          </w:tcPr>
          <w:p>
            <w:pPr>
              <w:spacing w:after="0"/>
              <w:rPr>
                <w:sz w:val="7"/>
                <w:szCs w:val="7"/>
                <w:color w:val="auto"/>
              </w:rPr>
            </w:pPr>
          </w:p>
        </w:tc>
        <w:tc>
          <w:tcPr>
            <w:tcW w:w="1160" w:type="dxa"/>
            <w:vAlign w:val="bottom"/>
            <w:gridSpan w:val="2"/>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Code  V</w:t>
            </w: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vMerge w:val="continue"/>
          </w:tcPr>
          <w:p>
            <w:pPr>
              <w:spacing w:after="0"/>
              <w:rPr>
                <w:sz w:val="13"/>
                <w:szCs w:val="13"/>
                <w:color w:val="auto"/>
              </w:rPr>
            </w:pPr>
          </w:p>
        </w:tc>
        <w:tc>
          <w:tcPr>
            <w:tcW w:w="380" w:type="dxa"/>
            <w:vAlign w:val="bottom"/>
            <w:gridSpan w:val="2"/>
          </w:tcPr>
          <w:p>
            <w:pPr>
              <w:jc w:val="right"/>
              <w:ind w:right="80"/>
              <w:spacing w:after="0"/>
              <w:rPr>
                <w:sz w:val="20"/>
                <w:szCs w:val="20"/>
                <w:color w:val="auto"/>
              </w:rPr>
            </w:pPr>
            <w:r>
              <w:rPr>
                <w:rFonts w:ascii="Arial" w:cs="Arial" w:eastAsia="Arial" w:hAnsi="Arial"/>
                <w:sz w:val="12"/>
                <w:szCs w:val="12"/>
                <w:b w:val="1"/>
                <w:bCs w:val="1"/>
                <w:color w:val="auto"/>
                <w:w w:val="95"/>
              </w:rPr>
              <w:t>Price</w:t>
            </w:r>
          </w:p>
        </w:tc>
        <w:tc>
          <w:tcPr>
            <w:tcW w:w="1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54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940" w:type="dxa"/>
            <w:vAlign w:val="bottom"/>
            <w:tcBorders>
              <w:bottom w:val="single" w:sz="8" w:color="2C2C2C"/>
            </w:tcBorders>
          </w:tcPr>
          <w:p>
            <w:pPr>
              <w:spacing w:after="0"/>
              <w:rPr>
                <w:sz w:val="15"/>
                <w:szCs w:val="15"/>
                <w:color w:val="auto"/>
              </w:rPr>
            </w:pPr>
          </w:p>
        </w:tc>
        <w:tc>
          <w:tcPr>
            <w:tcW w:w="680" w:type="dxa"/>
            <w:vAlign w:val="bottom"/>
            <w:tcBorders>
              <w:bottom w:val="single" w:sz="8" w:color="2C2C2C"/>
            </w:tcBorders>
            <w:gridSpan w:val="2"/>
          </w:tcPr>
          <w:p>
            <w:pPr>
              <w:ind w:left="220"/>
              <w:spacing w:after="0"/>
              <w:rPr>
                <w:sz w:val="20"/>
                <w:szCs w:val="20"/>
                <w:color w:val="auto"/>
              </w:rPr>
            </w:pPr>
            <w:r>
              <w:rPr>
                <w:rFonts w:ascii="Arial" w:cs="Arial" w:eastAsia="Arial" w:hAnsi="Arial"/>
                <w:sz w:val="12"/>
                <w:szCs w:val="12"/>
                <w:b w:val="1"/>
                <w:bCs w:val="1"/>
                <w:color w:val="auto"/>
              </w:rPr>
              <w:t>(D)</w:t>
            </w:r>
          </w:p>
        </w:tc>
        <w:tc>
          <w:tcPr>
            <w:tcW w:w="30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116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2"/>
          </w:tcPr>
          <w:p>
            <w:pPr>
              <w:ind w:left="400"/>
              <w:spacing w:after="0"/>
              <w:rPr>
                <w:sz w:val="20"/>
                <w:szCs w:val="20"/>
                <w:color w:val="auto"/>
              </w:rPr>
            </w:pPr>
            <w:r>
              <w:rPr>
                <w:rFonts w:ascii="Times New Roman" w:cs="Times New Roman" w:eastAsia="Times New Roman" w:hAnsi="Times New Roman"/>
                <w:sz w:val="17"/>
                <w:szCs w:val="17"/>
                <w:color w:val="0000FF"/>
              </w:rPr>
              <w:t>07/01/2026</w:t>
            </w:r>
          </w:p>
        </w:tc>
        <w:tc>
          <w:tcPr>
            <w:tcW w:w="5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3"/>
                <w:szCs w:val="13"/>
                <w:color w:val="0000FF"/>
              </w:rPr>
              <w:t>A</w:t>
            </w:r>
          </w:p>
        </w:tc>
        <w:tc>
          <w:tcPr>
            <w:tcW w:w="12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1,168,614</w:t>
            </w:r>
            <w:r>
              <w:rPr>
                <w:rFonts w:ascii="Times New Roman" w:cs="Times New Roman" w:eastAsia="Times New Roman" w:hAnsi="Times New Roman"/>
                <w:sz w:val="22"/>
                <w:szCs w:val="22"/>
                <w:color w:val="008000"/>
                <w:vertAlign w:val="superscript"/>
              </w:rPr>
              <w:t>(1)(2)</w:t>
            </w:r>
          </w:p>
        </w:tc>
        <w:tc>
          <w:tcPr>
            <w:tcW w:w="36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A</w:t>
            </w:r>
          </w:p>
        </w:tc>
        <w:tc>
          <w:tcPr>
            <w:tcW w:w="380" w:type="dxa"/>
            <w:vAlign w:val="bottom"/>
            <w:tcBorders>
              <w:bottom w:val="single" w:sz="8" w:color="2C2C2C"/>
            </w:tcBorders>
            <w:gridSpan w:val="2"/>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00" w:type="dxa"/>
            <w:vAlign w:val="bottom"/>
            <w:tcBorders>
              <w:bottom w:val="single" w:sz="8" w:color="2C2C2C"/>
            </w:tcBorders>
            <w:gridSpan w:val="3"/>
          </w:tcPr>
          <w:p>
            <w:pPr>
              <w:jc w:val="right"/>
              <w:ind w:right="140"/>
              <w:spacing w:after="0"/>
              <w:rPr>
                <w:sz w:val="20"/>
                <w:szCs w:val="20"/>
                <w:color w:val="auto"/>
              </w:rPr>
            </w:pPr>
            <w:r>
              <w:rPr>
                <w:rFonts w:ascii="Times New Roman" w:cs="Times New Roman" w:eastAsia="Times New Roman" w:hAnsi="Times New Roman"/>
                <w:sz w:val="17"/>
                <w:szCs w:val="17"/>
                <w:color w:val="0000FF"/>
              </w:rPr>
              <w:t>27,083,818</w:t>
            </w:r>
          </w:p>
        </w:tc>
        <w:tc>
          <w:tcPr>
            <w:tcW w:w="3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0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7"/>
                <w:szCs w:val="17"/>
                <w:color w:val="0000FF"/>
              </w:rPr>
              <w:t>1,385,765</w:t>
            </w:r>
          </w:p>
        </w:tc>
        <w:tc>
          <w:tcPr>
            <w:tcW w:w="340" w:type="dxa"/>
            <w:vAlign w:val="bottom"/>
          </w:tcPr>
          <w:p>
            <w:pPr>
              <w:spacing w:after="0"/>
              <w:rPr>
                <w:sz w:val="21"/>
                <w:szCs w:val="21"/>
                <w:color w:val="auto"/>
              </w:rPr>
            </w:pP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00" w:type="dxa"/>
            <w:vAlign w:val="bottom"/>
            <w:gridSpan w:val="3"/>
            <w:vMerge w:val="continue"/>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940" w:type="dxa"/>
            <w:vAlign w:val="bottom"/>
            <w:tcBorders>
              <w:bottom w:val="single" w:sz="8" w:color="2C2C2C"/>
            </w:tcBorders>
          </w:tcPr>
          <w:p>
            <w:pPr>
              <w:spacing w:after="0"/>
              <w:rPr>
                <w:sz w:val="18"/>
                <w:szCs w:val="18"/>
                <w:color w:val="auto"/>
              </w:rPr>
            </w:pPr>
          </w:p>
        </w:tc>
        <w:tc>
          <w:tcPr>
            <w:tcW w:w="32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4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00" w:type="dxa"/>
            <w:vAlign w:val="bottom"/>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3"/>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2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w:t>
            </w:r>
          </w:p>
        </w:tc>
        <w:tc>
          <w:tcPr>
            <w:tcW w:w="58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5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58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Acquired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Following</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6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gridSpan w:val="3"/>
          </w:tcPr>
          <w:p>
            <w:pPr>
              <w:ind w:left="14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94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Expiration</w:t>
            </w:r>
          </w:p>
        </w:tc>
        <w:tc>
          <w:tcPr>
            <w:tcW w:w="320" w:type="dxa"/>
            <w:vAlign w:val="bottom"/>
          </w:tcPr>
          <w:p>
            <w:pPr>
              <w:spacing w:after="0"/>
              <w:rPr>
                <w:sz w:val="11"/>
                <w:szCs w:val="11"/>
                <w:color w:val="auto"/>
              </w:rPr>
            </w:pPr>
          </w:p>
        </w:tc>
        <w:tc>
          <w:tcPr>
            <w:tcW w:w="3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gridSpan w:val="3"/>
          </w:tcPr>
          <w:p>
            <w:pPr>
              <w:ind w:left="80"/>
              <w:spacing w:after="0"/>
              <w:rPr>
                <w:sz w:val="20"/>
                <w:szCs w:val="20"/>
                <w:color w:val="auto"/>
              </w:rPr>
            </w:pPr>
            <w:r>
              <w:rPr>
                <w:rFonts w:ascii="Arial" w:cs="Arial" w:eastAsia="Arial" w:hAnsi="Arial"/>
                <w:sz w:val="12"/>
                <w:szCs w:val="12"/>
                <w:b w:val="1"/>
                <w:bCs w:val="1"/>
                <w:color w:val="auto"/>
              </w:rPr>
              <w:t>(A)   (D)</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Exercisable  Date</w:t>
            </w:r>
          </w:p>
        </w:tc>
        <w:tc>
          <w:tcPr>
            <w:tcW w:w="320" w:type="dxa"/>
            <w:vAlign w:val="bottom"/>
          </w:tcPr>
          <w:p>
            <w:pPr>
              <w:ind w:left="60"/>
              <w:spacing w:after="0"/>
              <w:rPr>
                <w:sz w:val="20"/>
                <w:szCs w:val="20"/>
                <w:color w:val="auto"/>
              </w:rPr>
            </w:pPr>
            <w:r>
              <w:rPr>
                <w:rFonts w:ascii="Arial" w:cs="Arial" w:eastAsia="Arial" w:hAnsi="Arial"/>
                <w:sz w:val="12"/>
                <w:szCs w:val="12"/>
                <w:b w:val="1"/>
                <w:bCs w:val="1"/>
                <w:color w:val="auto"/>
                <w:w w:val="97"/>
              </w:rPr>
              <w:t>Title</w:t>
            </w:r>
          </w:p>
        </w:tc>
        <w:tc>
          <w:tcPr>
            <w:tcW w:w="740" w:type="dxa"/>
            <w:vAlign w:val="bottom"/>
            <w:gridSpan w:val="3"/>
          </w:tcPr>
          <w:p>
            <w:pPr>
              <w:ind w:left="14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restricted stock units ("RSUs"). Each RSU represents a contingent right to receive one share of Common Stock</w:t>
      </w:r>
    </w:p>
    <w:p>
      <w:pPr>
        <w:spacing w:after="0" w:line="50" w:lineRule="exact"/>
        <w:rPr>
          <w:rFonts w:ascii="Times New Roman" w:cs="Times New Roman" w:eastAsia="Times New Roman" w:hAnsi="Times New Roman"/>
          <w:sz w:val="13"/>
          <w:szCs w:val="13"/>
          <w:color w:val="008000"/>
        </w:rPr>
      </w:pPr>
    </w:p>
    <w:p>
      <w:pPr>
        <w:ind w:left="40" w:right="240" w:firstLine="7"/>
        <w:spacing w:after="0" w:line="247"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One-eighth (1/8th) of the total number of RSUs subject to the Award will be scheduled to vest on the first Quarterly Vesting Date (as defined below) on or immediately following the date that is six (6) months following the Vesting Commencement Date (such first vesting date, the First Vesting Date), and thereafter, one-sixteenth (1/16th) of the total number of RSUs subject to the Award will be scheduled to vest on each of the next fourteen (14) consecutive Quarterly Vesting Dates that occur after the First Vesting Date, in each case subject to the Participant continuing to be a Service Provider through the applicable vesting date. Quarterly Vesting Dates means March 10, May 15, August 15, and November 15.</w:t>
      </w:r>
    </w:p>
    <w:p>
      <w:pPr>
        <w:sectPr>
          <w:pgSz w:w="11900" w:h="16838" w:orient="portrait"/>
          <w:cols w:equalWidth="0" w:num="1">
            <w:col w:w="11080"/>
          </w:cols>
          <w:pgMar w:left="460" w:top="219" w:right="359" w:bottom="1440" w:gutter="0" w:footer="0" w:header="0"/>
          <w:type w:val="continuous"/>
        </w:sectPr>
      </w:pPr>
    </w:p>
    <w:p>
      <w:pPr>
        <w:spacing w:after="0" w:line="2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3. The shares are held by Citizens Trust Company of Delaware, Trustee of the Burnette Family Irrevocable Trust dated August 11, 2025.</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Bobby Brown, by power 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379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6004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60045" cy="8255"/>
                    </a:xfrm>
                    <a:prstGeom prst="rect">
                      <a:avLst/>
                    </a:prstGeom>
                    <a:noFill/>
                  </pic:spPr>
                </pic:pic>
              </a:graphicData>
            </a:graphic>
          </wp:anchor>
        </w:drawing>
      </w:r>
    </w:p>
    <w:p>
      <w:pPr>
        <w:spacing w:after="0" w:line="40"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4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07/02/2026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9"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4"/>
          <w:szCs w:val="24"/>
          <w:color w:val="auto"/>
        </w:rPr>
      </w:pPr>
    </w:p>
    <w:p>
      <w:pPr>
        <w:sectPr>
          <w:pgSz w:w="11900" w:h="16838" w:orient="portrait"/>
          <w:cols w:equalWidth="0" w:num="2">
            <w:col w:w="8700" w:space="80"/>
            <w:col w:w="230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2080471" TargetMode="External"/><Relationship Id="rId14" Type="http://schemas.openxmlformats.org/officeDocument/2006/relationships/hyperlink" Target="http://www.sec.gov/cgi-bin/browse-edgar?action=getcompany&amp;CIK=000185313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2026-07-02T15:51:27Z</dcterms:created>
  <dcterms:modified xsi:type="dcterms:W3CDTF">2026-07-02T15:51:27Z</dcterms:modified>
</cp:coreProperties>
</file>