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Kodiak AI,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65"/>
        <w:gridCol w:w="8040"/>
      </w:tblGrid>
      <w:tr>
        <w:trPr/>
        <w:tc>
          <w:tcPr>
            <w:tcW w:w="2165" w:type="dxa"/>
            <w:tcBorders/>
            <w:vAlign w:val="center"/>
          </w:tcPr>
          <w:p>
            <w:pPr>
              <w:pStyle w:val="TableContents"/>
              <w:bidi w:val="0"/>
              <w:spacing w:before="0" w:after="283"/>
              <w:jc w:val="left"/>
              <w:rPr/>
            </w:pPr>
            <w:r>
              <w:rPr/>
              <w:t>1</w:t>
            </w:r>
          </w:p>
        </w:tc>
        <w:tc>
          <w:tcPr>
            <w:tcW w:w="804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SOROS FUND MANAGEMENT LLC</w:t>
            </w:r>
          </w:p>
        </w:tc>
      </w:tr>
      <w:tr>
        <w:trPr/>
        <w:tc>
          <w:tcPr>
            <w:tcW w:w="2165" w:type="dxa"/>
            <w:tcBorders/>
            <w:vAlign w:val="center"/>
          </w:tcPr>
          <w:p>
            <w:pPr>
              <w:pStyle w:val="TableContents"/>
              <w:bidi w:val="0"/>
              <w:spacing w:before="0" w:after="283"/>
              <w:jc w:val="left"/>
              <w:rPr/>
            </w:pPr>
            <w:r>
              <w:rPr/>
              <w:t>2</w:t>
            </w:r>
          </w:p>
        </w:tc>
        <w:tc>
          <w:tcPr>
            <w:tcW w:w="804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65" w:type="dxa"/>
            <w:tcBorders/>
            <w:vAlign w:val="center"/>
          </w:tcPr>
          <w:p>
            <w:pPr>
              <w:pStyle w:val="TableContents"/>
              <w:bidi w:val="0"/>
              <w:spacing w:before="0" w:after="283"/>
              <w:jc w:val="left"/>
              <w:rPr/>
            </w:pPr>
            <w:r>
              <w:rPr/>
              <w:t>3</w:t>
            </w:r>
          </w:p>
        </w:tc>
        <w:tc>
          <w:tcPr>
            <w:tcW w:w="8040" w:type="dxa"/>
            <w:tcBorders/>
            <w:vAlign w:val="center"/>
          </w:tcPr>
          <w:p>
            <w:pPr>
              <w:pStyle w:val="TableContents"/>
              <w:bidi w:val="0"/>
              <w:spacing w:before="0" w:after="283"/>
              <w:jc w:val="left"/>
              <w:rPr/>
            </w:pPr>
            <w:r>
              <w:rPr/>
              <w:t>Sec Use Only</w:t>
            </w:r>
          </w:p>
        </w:tc>
      </w:tr>
      <w:tr>
        <w:trPr/>
        <w:tc>
          <w:tcPr>
            <w:tcW w:w="2165" w:type="dxa"/>
            <w:tcBorders/>
            <w:vAlign w:val="center"/>
          </w:tcPr>
          <w:p>
            <w:pPr>
              <w:pStyle w:val="TableContents"/>
              <w:bidi w:val="0"/>
              <w:spacing w:before="0" w:after="283"/>
              <w:jc w:val="left"/>
              <w:rPr/>
            </w:pPr>
            <w:r>
              <w:rPr/>
              <w:t>4</w:t>
            </w:r>
          </w:p>
        </w:tc>
        <w:tc>
          <w:tcPr>
            <w:tcW w:w="804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6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9,767,037.00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9,767,037.00</w:t>
                  </w:r>
                </w:p>
              </w:tc>
            </w:tr>
          </w:tbl>
          <w:p>
            <w:pPr>
              <w:pStyle w:val="TableContents"/>
              <w:bidi w:val="0"/>
              <w:spacing w:before="0" w:after="283"/>
              <w:jc w:val="left"/>
              <w:rPr/>
            </w:pPr>
            <w:r>
              <w:rPr/>
            </w:r>
          </w:p>
        </w:tc>
        <w:tc>
          <w:tcPr>
            <w:tcW w:w="8040"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283"/>
              <w:jc w:val="left"/>
              <w:rPr/>
            </w:pPr>
            <w:r>
              <w:rPr/>
              <w:t>9</w:t>
            </w:r>
          </w:p>
        </w:tc>
        <w:tc>
          <w:tcPr>
            <w:tcW w:w="804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9,767,037.00</w:t>
            </w:r>
          </w:p>
        </w:tc>
      </w:tr>
      <w:tr>
        <w:trPr/>
        <w:tc>
          <w:tcPr>
            <w:tcW w:w="2165" w:type="dxa"/>
            <w:tcBorders/>
            <w:vAlign w:val="center"/>
          </w:tcPr>
          <w:p>
            <w:pPr>
              <w:pStyle w:val="TableContents"/>
              <w:bidi w:val="0"/>
              <w:spacing w:before="0" w:after="283"/>
              <w:jc w:val="left"/>
              <w:rPr/>
            </w:pPr>
            <w:r>
              <w:rPr/>
              <w:t>10</w:t>
            </w:r>
          </w:p>
        </w:tc>
        <w:tc>
          <w:tcPr>
            <w:tcW w:w="804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65" w:type="dxa"/>
            <w:tcBorders/>
            <w:vAlign w:val="center"/>
          </w:tcPr>
          <w:p>
            <w:pPr>
              <w:pStyle w:val="TableContents"/>
              <w:bidi w:val="0"/>
              <w:spacing w:before="0" w:after="283"/>
              <w:jc w:val="left"/>
              <w:rPr/>
            </w:pPr>
            <w:r>
              <w:rPr/>
              <w:t>11</w:t>
            </w:r>
          </w:p>
        </w:tc>
        <w:tc>
          <w:tcPr>
            <w:tcW w:w="804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4.9 % </w:t>
            </w:r>
          </w:p>
        </w:tc>
      </w:tr>
      <w:tr>
        <w:trPr/>
        <w:tc>
          <w:tcPr>
            <w:tcW w:w="2165" w:type="dxa"/>
            <w:tcBorders/>
            <w:vAlign w:val="center"/>
          </w:tcPr>
          <w:p>
            <w:pPr>
              <w:pStyle w:val="TableContents"/>
              <w:bidi w:val="0"/>
              <w:spacing w:before="0" w:after="283"/>
              <w:jc w:val="left"/>
              <w:rPr/>
            </w:pPr>
            <w:r>
              <w:rPr/>
              <w:t>12</w:t>
            </w:r>
          </w:p>
        </w:tc>
        <w:tc>
          <w:tcPr>
            <w:tcW w:w="804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George Soros</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9,767,037.00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9,767,037.00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9,767,037.00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46"/>
        <w:gridCol w:w="8904"/>
        <w:gridCol w:w="155"/>
      </w:tblGrid>
      <w:tr>
        <w:trPr/>
        <w:tc>
          <w:tcPr>
            <w:tcW w:w="1146" w:type="dxa"/>
            <w:tcBorders/>
            <w:vAlign w:val="center"/>
          </w:tcPr>
          <w:p>
            <w:pPr>
              <w:pStyle w:val="TableContents"/>
              <w:bidi w:val="0"/>
              <w:spacing w:before="0" w:after="283"/>
              <w:jc w:val="left"/>
              <w:rPr/>
            </w:pPr>
            <w:r>
              <w:rPr/>
              <w:t>Item 1.</w:t>
            </w:r>
          </w:p>
        </w:tc>
        <w:tc>
          <w:tcPr>
            <w:tcW w:w="890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(a)</w:t>
            </w:r>
          </w:p>
        </w:tc>
        <w:tc>
          <w:tcPr>
            <w:tcW w:w="8904" w:type="dxa"/>
            <w:tcBorders/>
            <w:vAlign w:val="center"/>
          </w:tcPr>
          <w:p>
            <w:pPr>
              <w:pStyle w:val="TableContents"/>
              <w:bidi w:val="0"/>
              <w:jc w:val="left"/>
              <w:rPr/>
            </w:pPr>
            <w:r>
              <w:rPr/>
              <w:t xml:space="preserve">Name of issuer: </w:t>
            </w:r>
          </w:p>
          <w:p>
            <w:pPr>
              <w:pStyle w:val="TableContents"/>
              <w:bidi w:val="0"/>
              <w:spacing w:before="0" w:after="0"/>
              <w:jc w:val="left"/>
              <w:rPr/>
            </w:pPr>
            <w:r>
              <w:rPr/>
              <w:t>Kodiak AI, Inc.</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(b)</w:t>
            </w:r>
          </w:p>
        </w:tc>
        <w:tc>
          <w:tcPr>
            <w:tcW w:w="890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1049 Terra Bella Avenue, Mountain View, California 94043</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2.</w:t>
            </w:r>
          </w:p>
        </w:tc>
        <w:tc>
          <w:tcPr>
            <w:tcW w:w="890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(a)</w:t>
            </w:r>
          </w:p>
        </w:tc>
        <w:tc>
          <w:tcPr>
            <w:tcW w:w="890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on behalf of each of the following persons (collectively, the "Reporting Persons"): (i) Soros Fund Management LLC ("SFM LLC"); and (ii) George Soros. This statement relates to shares of common stock, par value $0.0001 per share ("Common Stock"), of Kodiak AI, Inc., a Delaware corporation (the "Company"), held for the accounts of Quantum Partners LP, a Cayman Islands exempted limited partnership ("Quantum Partners"), and certain other funds/accounts (the "Other Funds/Accounts" and, together with Quantum Partners, the "Accounts"). SFM LLC serves as investment manager to the Accounts. As such, SFM LLC has been granted investment discretion over portfolio investments, including the shares of Common Stock, held for the Accounts. George Soros serves as Chairman of SFM LLC and has sole discretion to replace FPR Manager LLC, the Manager of SFM LLC.</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(b)</w:t>
            </w:r>
          </w:p>
        </w:tc>
        <w:tc>
          <w:tcPr>
            <w:tcW w:w="890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250 West 55th Street, 29th Floor, New York, NY 10019.</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(c)</w:t>
            </w:r>
          </w:p>
        </w:tc>
        <w:tc>
          <w:tcPr>
            <w:tcW w:w="8904" w:type="dxa"/>
            <w:tcBorders/>
            <w:vAlign w:val="center"/>
          </w:tcPr>
          <w:p>
            <w:pPr>
              <w:pStyle w:val="TableContents"/>
              <w:bidi w:val="0"/>
              <w:jc w:val="left"/>
              <w:rPr/>
            </w:pPr>
            <w:r>
              <w:rPr/>
              <w:t xml:space="preserve">Citizenship: </w:t>
            </w:r>
          </w:p>
          <w:p>
            <w:pPr>
              <w:pStyle w:val="TableContents"/>
              <w:bidi w:val="0"/>
              <w:spacing w:before="0" w:after="0"/>
              <w:jc w:val="left"/>
              <w:rPr/>
            </w:pPr>
            <w:r>
              <w:rPr/>
              <w:t>(i) SFM LLC is a Delaware limited liability company; and (ii) George Soros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(d)</w:t>
            </w:r>
          </w:p>
        </w:tc>
        <w:tc>
          <w:tcPr>
            <w:tcW w:w="890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(e)</w:t>
            </w:r>
          </w:p>
        </w:tc>
        <w:tc>
          <w:tcPr>
            <w:tcW w:w="890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3.</w:t>
            </w:r>
          </w:p>
        </w:tc>
        <w:tc>
          <w:tcPr>
            <w:tcW w:w="890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(a)</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(b)</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(c)</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(d)</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(e)</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(f)</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(g)</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(h)</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(j)</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(k)</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9059" w:type="dxa"/>
            <w:gridSpan w:val="2"/>
            <w:tcBorders/>
            <w:vAlign w:val="center"/>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4.</w:t>
            </w:r>
          </w:p>
        </w:tc>
        <w:tc>
          <w:tcPr>
            <w:tcW w:w="890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(a)</w:t>
            </w:r>
          </w:p>
        </w:tc>
        <w:tc>
          <w:tcPr>
            <w:tcW w:w="890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The percentage set forth herein is calculated based upon an aggregate of 199,400,662 shares of Class A Common Stock outstanding as of May 15, 2026, as reported by the Issuer in the prospectus filed with the Securities and Exchange Commission on June 9, 2026 pursuant to Rule 424(b)(3) under the Securities Act of 1933, as amended.</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(b)</w:t>
            </w:r>
          </w:p>
        </w:tc>
        <w:tc>
          <w:tcPr>
            <w:tcW w:w="890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4.9%  %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(c)</w:t>
            </w:r>
          </w:p>
        </w:tc>
        <w:tc>
          <w:tcPr>
            <w:tcW w:w="890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5.</w:t>
            </w:r>
          </w:p>
        </w:tc>
        <w:tc>
          <w:tcPr>
            <w:tcW w:w="890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6.</w:t>
            </w:r>
          </w:p>
        </w:tc>
        <w:tc>
          <w:tcPr>
            <w:tcW w:w="890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7.</w:t>
            </w:r>
          </w:p>
        </w:tc>
        <w:tc>
          <w:tcPr>
            <w:tcW w:w="890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8.</w:t>
            </w:r>
          </w:p>
        </w:tc>
        <w:tc>
          <w:tcPr>
            <w:tcW w:w="890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9.</w:t>
            </w:r>
          </w:p>
        </w:tc>
        <w:tc>
          <w:tcPr>
            <w:tcW w:w="890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442" w:type="dxa"/>
        <w:jc w:val="left"/>
        <w:tblInd w:w="0" w:type="dxa"/>
        <w:tblLayout w:type="fixed"/>
        <w:tblCellMar>
          <w:top w:w="28" w:type="dxa"/>
          <w:left w:w="28" w:type="dxa"/>
          <w:bottom w:w="28" w:type="dxa"/>
          <w:right w:w="28" w:type="dxa"/>
        </w:tblCellMar>
      </w:tblPr>
      <w:tblGrid>
        <w:gridCol w:w="4221"/>
        <w:gridCol w:w="4221"/>
      </w:tblGrid>
      <w:tr>
        <w:trPr/>
        <w:tc>
          <w:tcPr>
            <w:tcW w:w="4221" w:type="dxa"/>
            <w:tcBorders/>
            <w:vAlign w:val="center"/>
          </w:tcPr>
          <w:p>
            <w:pPr>
              <w:pStyle w:val="TableContents"/>
              <w:bidi w:val="0"/>
              <w:spacing w:before="0" w:after="0"/>
              <w:jc w:val="left"/>
              <w:rPr/>
            </w:pPr>
            <w:r>
              <w:rPr/>
              <w:t> </w:t>
            </w:r>
          </w:p>
          <w:tbl>
            <w:tblPr>
              <w:tblW w:w="4051" w:type="dxa"/>
              <w:jc w:val="left"/>
              <w:tblInd w:w="0" w:type="dxa"/>
              <w:tblLayout w:type="fixed"/>
              <w:tblCellMar>
                <w:top w:w="28" w:type="dxa"/>
                <w:left w:w="28" w:type="dxa"/>
                <w:bottom w:w="28" w:type="dxa"/>
                <w:right w:w="28" w:type="dxa"/>
              </w:tblCellMar>
            </w:tblPr>
            <w:tblGrid>
              <w:gridCol w:w="4051"/>
            </w:tblGrid>
            <w:tr>
              <w:trPr/>
              <w:tc>
                <w:tcPr>
                  <w:tcW w:w="4051" w:type="dxa"/>
                  <w:tcBorders/>
                  <w:vAlign w:val="center"/>
                </w:tcPr>
                <w:p>
                  <w:pPr>
                    <w:pStyle w:val="TableContents"/>
                    <w:bidi w:val="0"/>
                    <w:spacing w:before="0" w:after="0"/>
                    <w:jc w:val="left"/>
                    <w:rPr/>
                  </w:pPr>
                  <w:r>
                    <w:rPr/>
                    <w:t>SOROS FUND MANAGEMENT LLC</w:t>
                  </w:r>
                </w:p>
              </w:tc>
            </w:tr>
          </w:tbl>
          <w:p>
            <w:pPr>
              <w:pStyle w:val="TableContents"/>
              <w:bidi w:val="0"/>
              <w:spacing w:before="0" w:after="283"/>
              <w:jc w:val="left"/>
              <w:rPr/>
            </w:pPr>
            <w:r>
              <w:rPr/>
            </w:r>
          </w:p>
        </w:tc>
        <w:tc>
          <w:tcPr>
            <w:tcW w:w="42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3"/>
        <w:gridCol w:w="4392"/>
      </w:tblGrid>
      <w:tr>
        <w:trPr/>
        <w:tc>
          <w:tcPr>
            <w:tcW w:w="58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John DeSisto</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John DeSisto, Assistant General Counsel</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92" w:type="dxa"/>
            <w:tcBorders/>
            <w:vAlign w:val="center"/>
          </w:tcPr>
          <w:p>
            <w:pPr>
              <w:pStyle w:val="TableContents"/>
              <w:bidi w:val="0"/>
              <w:spacing w:before="0" w:after="283"/>
              <w:jc w:val="left"/>
              <w:rPr>
                <w:sz w:val="4"/>
                <w:szCs w:val="4"/>
              </w:rPr>
            </w:pPr>
            <w:r>
              <w:rPr>
                <w:sz w:val="4"/>
                <w:szCs w:val="4"/>
              </w:rPr>
            </w:r>
          </w:p>
        </w:tc>
      </w:tr>
    </w:tbl>
    <w:tbl>
      <w:tblPr>
        <w:tblW w:w="3196" w:type="dxa"/>
        <w:jc w:val="left"/>
        <w:tblInd w:w="0" w:type="dxa"/>
        <w:tblLayout w:type="fixed"/>
        <w:tblCellMar>
          <w:top w:w="28" w:type="dxa"/>
          <w:left w:w="28" w:type="dxa"/>
          <w:bottom w:w="28" w:type="dxa"/>
          <w:right w:w="28" w:type="dxa"/>
        </w:tblCellMar>
      </w:tblPr>
      <w:tblGrid>
        <w:gridCol w:w="1598"/>
        <w:gridCol w:w="1598"/>
      </w:tblGrid>
      <w:tr>
        <w:trPr/>
        <w:tc>
          <w:tcPr>
            <w:tcW w:w="1598" w:type="dxa"/>
            <w:tcBorders/>
            <w:vAlign w:val="center"/>
          </w:tcPr>
          <w:p>
            <w:pPr>
              <w:pStyle w:val="TableContents"/>
              <w:bidi w:val="0"/>
              <w:spacing w:before="0" w:after="0"/>
              <w:jc w:val="left"/>
              <w:rPr/>
            </w:pPr>
            <w:r>
              <w:rPr/>
              <w:t> </w:t>
            </w:r>
          </w:p>
          <w:tbl>
            <w:tblPr>
              <w:tblW w:w="1471" w:type="dxa"/>
              <w:jc w:val="left"/>
              <w:tblInd w:w="0" w:type="dxa"/>
              <w:tblLayout w:type="fixed"/>
              <w:tblCellMar>
                <w:top w:w="28" w:type="dxa"/>
                <w:left w:w="28" w:type="dxa"/>
                <w:bottom w:w="28" w:type="dxa"/>
                <w:right w:w="28" w:type="dxa"/>
              </w:tblCellMar>
            </w:tblPr>
            <w:tblGrid>
              <w:gridCol w:w="1471"/>
            </w:tblGrid>
            <w:tr>
              <w:trPr/>
              <w:tc>
                <w:tcPr>
                  <w:tcW w:w="1471" w:type="dxa"/>
                  <w:tcBorders/>
                  <w:vAlign w:val="center"/>
                </w:tcPr>
                <w:p>
                  <w:pPr>
                    <w:pStyle w:val="TableContents"/>
                    <w:bidi w:val="0"/>
                    <w:spacing w:before="0" w:after="0"/>
                    <w:jc w:val="left"/>
                    <w:rPr/>
                  </w:pPr>
                  <w:r>
                    <w:rPr/>
                    <w:t>George Soros</w:t>
                  </w:r>
                </w:p>
              </w:tc>
            </w:tr>
          </w:tbl>
          <w:p>
            <w:pPr>
              <w:pStyle w:val="TableContents"/>
              <w:bidi w:val="0"/>
              <w:spacing w:before="0" w:after="283"/>
              <w:jc w:val="left"/>
              <w:rPr/>
            </w:pPr>
            <w:r>
              <w:rPr/>
            </w:r>
          </w:p>
        </w:tc>
        <w:tc>
          <w:tcPr>
            <w:tcW w:w="15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5"/>
        <w:gridCol w:w="4390"/>
      </w:tblGrid>
      <w:tr>
        <w:trPr/>
        <w:tc>
          <w:tcPr>
            <w:tcW w:w="581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John DeSisto</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John DeSisto, Attorney-in-Fact</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90" w:type="dxa"/>
            <w:tcBorders/>
            <w:vAlign w:val="center"/>
          </w:tcPr>
          <w:p>
            <w:pPr>
              <w:pStyle w:val="TableContents"/>
              <w:bidi w:val="0"/>
              <w:spacing w:before="0" w:after="283"/>
              <w:jc w:val="left"/>
              <w:rPr>
                <w:sz w:val="4"/>
                <w:szCs w:val="4"/>
              </w:rPr>
            </w:pPr>
            <w:r>
              <w:rPr>
                <w:sz w:val="4"/>
                <w:szCs w:val="4"/>
              </w:rPr>
            </w:r>
          </w:p>
        </w:tc>
      </w:tr>
    </w:tbl>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283"/>
              <w:jc w:val="center"/>
              <w:rPr>
                <w:b/>
              </w:rPr>
            </w:pPr>
            <w:r>
              <w:rPr>
                <w:b/>
              </w:rPr>
              <w:t xml:space="preserve">Exhibit Information </w:t>
            </w:r>
          </w:p>
        </w:tc>
      </w:tr>
      <w:tr>
        <w:trPr/>
        <w:tc>
          <w:tcPr>
            <w:tcW w:w="3226" w:type="dxa"/>
            <w:tcBorders/>
            <w:vAlign w:val="center"/>
          </w:tcPr>
          <w:p>
            <w:pPr>
              <w:pStyle w:val="TableContents"/>
              <w:bidi w:val="0"/>
              <w:spacing w:before="0" w:after="283"/>
              <w:jc w:val="left"/>
              <w:rPr/>
            </w:pPr>
            <w:r>
              <w:rPr/>
              <w:t>Exhibit 99.1: Power of Attorney</w:t>
            </w:r>
          </w:p>
        </w:tc>
      </w:tr>
    </w:tbl>
    <w:p>
      <w:pPr>
        <w:pStyle w:val="TextBody"/>
        <w:bidi w:val="0"/>
        <w:spacing w:before="0" w:after="240"/>
        <w:jc w:val="center"/>
        <w:rPr>
          <w:rFonts w:ascii="Times New Roman;Times;Serif" w:hAnsi="Times New Roman;Times;Serif"/>
          <w:b/>
          <w:i w:val="false"/>
          <w:caps w:val="false"/>
          <w:smallCaps w:val="false"/>
          <w:sz w:val="22"/>
        </w:rPr>
      </w:pPr>
      <w:bookmarkStart w:id="20" w:name="p26-1498exhibit99_1.htm"/>
      <w:bookmarkStart w:id="21" w:name="ksp261498exhibit99_1"/>
      <w:bookmarkEnd w:id="20"/>
      <w:bookmarkEnd w:id="21"/>
      <w:r>
        <w:rPr>
          <w:rFonts w:ascii="Times New Roman;Times;Serif" w:hAnsi="Times New Roman;Times;Serif"/>
          <w:b/>
          <w:i w:val="false"/>
          <w:caps w:val="false"/>
          <w:smallCaps w:val="false"/>
          <w:sz w:val="22"/>
        </w:rPr>
        <w:t>EXHIBIT 99.1</w:t>
      </w:r>
      <w:r>
        <w:br w:type="page"/>
      </w:r>
    </w:p>
    <w:p>
      <w:pPr>
        <w:pStyle w:val="TextBody"/>
        <w:bidi w:val="0"/>
        <w:spacing w:before="0" w:after="24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POWER OF ATTORNEY</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KNOW ALL MEN BY THESE PRESENT, that I, GEORGE SOROS, hereby make, constitute and appoint each of JOHN DESISTO, NEAL DONNELLY, ANDREW HOLLENBECK, MATTHEW KNAPP and JOSEPH WORKMAN, acting individually, as my agent and attorney-in-fact for the purpose of executing in my name, (a) in my personal capacity or (b) in my capacity as Chairman of, member of or in other capacities with Soros Fund Management LLC ("SFM LLC") and each of its affiliates or entities advised by me or SFM LLC, all documents, certificates, instruments, statements, filings and agreements ("documents") to be filed with or delivered to any foreign or domestic governmental or regulatory body or required or requested by any other person or entity pursuant to any legal or regulatory requirement relating to the acquisition, ownership, management or disposition of securities, futures contracts or other investments, and any other documents relating or ancillary thereto, including without limitation all documents relating to filings with the Commodities Futures Trading Commission and National Futures Association, the United States Securities and Exchange Commission (the "SEC") pursuant to the Securities Act of 1933 or the Securities Exchange Act of 1934 (the "Act") and the rules and regulations promulgated thereunder, including all documents relating to the beneficial ownership of securities required to be filed with the SEC pursuant to Section 13(d) or Section 16(a) of the Act and any information statements on Form 13F required to be filed with the SEC pursuant to Section 13(f) of the Act.</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All past acts of these attorneys-in-fact in furtherance of the foregoing are hereby ratified and confirmed.</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Execution of this power of attorney revokes that certain Power of Attorney dated as of the 1</w:t>
      </w:r>
      <w:r>
        <w:rPr>
          <w:rFonts w:ascii="Times New Roman;Times;Serif" w:hAnsi="Times New Roman;Times;Serif"/>
          <w:b w:val="false"/>
          <w:i w:val="false"/>
          <w:caps w:val="false"/>
          <w:smallCaps w:val="false"/>
          <w:position w:val="7"/>
          <w:sz w:val="18"/>
          <w:sz w:val="22"/>
        </w:rPr>
        <w:t>st</w:t>
      </w:r>
      <w:r>
        <w:rPr>
          <w:rFonts w:ascii="Times New Roman;Times;Serif" w:hAnsi="Times New Roman;Times;Serif"/>
          <w:b w:val="false"/>
          <w:i w:val="false"/>
          <w:caps w:val="false"/>
          <w:smallCaps w:val="false"/>
          <w:sz w:val="22"/>
        </w:rPr>
        <w:t xml:space="preserve"> day of February, 2022 with respect to the same matters addressed above.</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This power of attorney shall be valid from the date hereof until revoked by me.</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IN WITNESS WHEREOF, I have executed this instrument as of the 21st day of March, 2023.</w:t>
      </w:r>
    </w:p>
    <w:p>
      <w:pPr>
        <w:pStyle w:val="TextBody"/>
        <w:bidi w:val="0"/>
        <w:jc w:val="left"/>
        <w:rPr>
          <w:caps w:val="false"/>
          <w:smallCaps w:val="false"/>
        </w:rPr>
      </w:pPr>
      <w:r>
        <w:rPr>
          <w:caps w:val="false"/>
          <w:smallCaps w:val="false"/>
        </w:rPr>
        <w:t> </w:t>
      </w:r>
    </w:p>
    <w:tbl>
      <w:tblPr>
        <w:tblW w:w="4030" w:type="dxa"/>
        <w:jc w:val="left"/>
        <w:tblInd w:w="0" w:type="dxa"/>
        <w:tblLayout w:type="fixed"/>
        <w:tblCellMar>
          <w:top w:w="0" w:type="dxa"/>
          <w:left w:w="0" w:type="dxa"/>
          <w:bottom w:w="0" w:type="dxa"/>
          <w:right w:w="0" w:type="dxa"/>
        </w:tblCellMar>
      </w:tblPr>
      <w:tblGrid>
        <w:gridCol w:w="665"/>
        <w:gridCol w:w="3290"/>
        <w:gridCol w:w="75"/>
      </w:tblGrid>
      <w:tr>
        <w:trPr/>
        <w:tc>
          <w:tcPr>
            <w:tcW w:w="3955" w:type="dxa"/>
            <w:gridSpan w:val="2"/>
            <w:tcBorders/>
            <w:vAlign w:val="center"/>
          </w:tcPr>
          <w:p>
            <w:pPr>
              <w:pStyle w:val="TableContents"/>
              <w:bidi w:val="0"/>
              <w:spacing w:before="0" w:after="283"/>
              <w:jc w:val="left"/>
              <w:rPr>
                <w:b/>
                <w:caps/>
              </w:rPr>
            </w:pPr>
            <w:r>
              <w:rPr>
                <w:b/>
                <w:caps/>
              </w:rPr>
              <w:t>GEORGE SOROS</w:t>
            </w:r>
          </w:p>
        </w:tc>
        <w:tc>
          <w:tcPr>
            <w:tcW w:w="75" w:type="dxa"/>
            <w:tcBorders/>
            <w:vAlign w:val="center"/>
          </w:tcPr>
          <w:p>
            <w:pPr>
              <w:pStyle w:val="TableContents"/>
              <w:bidi w:val="0"/>
              <w:spacing w:before="0" w:after="283"/>
              <w:jc w:val="left"/>
              <w:rPr/>
            </w:pPr>
            <w:r>
              <w:rPr/>
              <w:t> </w:t>
            </w:r>
          </w:p>
        </w:tc>
      </w:tr>
      <w:tr>
        <w:trPr/>
        <w:tc>
          <w:tcPr>
            <w:tcW w:w="395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95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By:</w:t>
            </w:r>
          </w:p>
        </w:tc>
        <w:tc>
          <w:tcPr>
            <w:tcW w:w="3290" w:type="dxa"/>
            <w:tcBorders>
              <w:bottom w:val="single" w:sz="8" w:space="0" w:color="000000"/>
            </w:tcBorders>
            <w:tcMar>
              <w:bottom w:w="28" w:type="dxa"/>
            </w:tcMar>
            <w:vAlign w:val="center"/>
          </w:tcPr>
          <w:p>
            <w:pPr>
              <w:pStyle w:val="TableContents"/>
              <w:bidi w:val="0"/>
              <w:spacing w:before="0" w:after="283"/>
              <w:jc w:val="left"/>
              <w:rPr/>
            </w:pPr>
            <w:r>
              <w:rPr/>
              <w:t>/s/ Maryann Canfield</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Name:</w:t>
            </w:r>
          </w:p>
        </w:tc>
        <w:tc>
          <w:tcPr>
            <w:tcW w:w="3290" w:type="dxa"/>
            <w:tcBorders/>
            <w:vAlign w:val="center"/>
          </w:tcPr>
          <w:p>
            <w:pPr>
              <w:pStyle w:val="TableContents"/>
              <w:bidi w:val="0"/>
              <w:spacing w:before="0" w:after="283"/>
              <w:jc w:val="left"/>
              <w:rPr/>
            </w:pPr>
            <w:r>
              <w:rPr/>
              <w:t>Maryann Canfield</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Title:</w:t>
            </w:r>
          </w:p>
        </w:tc>
        <w:tc>
          <w:tcPr>
            <w:tcW w:w="3290" w:type="dxa"/>
            <w:tcBorders/>
            <w:vAlign w:val="center"/>
          </w:tcPr>
          <w:p>
            <w:pPr>
              <w:pStyle w:val="TableContents"/>
              <w:bidi w:val="0"/>
              <w:spacing w:before="0" w:after="283"/>
              <w:jc w:val="left"/>
              <w:rPr/>
            </w:pPr>
            <w:r>
              <w:rPr/>
              <w:t>Attorney-in-Fact for George Soros</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1558</Words>
  <Characters>8033</Characters>
  <CharactersWithSpaces>9561</CharactersWithSpaces>
  <Paragraphs>234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