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left="520" w:right="180"/>
        <w:spacing w:after="0" w:line="235" w:lineRule="auto"/>
        <w:rPr>
          <w:sz w:val="20"/>
          <w:szCs w:val="20"/>
          <w:color w:val="auto"/>
        </w:rPr>
      </w:pPr>
      <w:r>
        <w:rPr>
          <w:rFonts w:ascii="Times New Roman" w:cs="Times New Roman" w:eastAsia="Times New Roman" w:hAnsi="Times New Roman"/>
          <w:sz w:val="15"/>
          <w:szCs w:val="15"/>
          <w:b w:val="1"/>
          <w:bCs w:val="1"/>
          <w:color w:val="auto"/>
        </w:rPr>
        <w:t>This is a confidential amended draft registration statement submission to the United States Securities and Exchange Commission on February 22, 2023 under the Securities Act of 1933, as amended.</w:t>
      </w:r>
    </w:p>
    <w:p>
      <w:pPr>
        <w:spacing w:after="0" w:line="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Ares Acquisition Corporation II</w:t>
      </w:r>
    </w:p>
    <w:p>
      <w:pPr>
        <w:spacing w:after="0" w:line="4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tbl>
      <w:tblPr>
        <w:tblLayout w:type="fixed"/>
        <w:tblInd w:w="1040" w:type="dxa"/>
        <w:tblCellMar>
          <w:top w:w="0" w:type="dxa"/>
          <w:left w:w="0" w:type="dxa"/>
          <w:bottom w:w="0" w:type="dxa"/>
          <w:right w:w="0" w:type="dxa"/>
        </w:tblCellMar>
      </w:tblPr>
      <w:tr>
        <w:trPr>
          <w:trHeight w:val="172"/>
        </w:trPr>
        <w:tc>
          <w:tcPr>
            <w:tcW w:w="2840" w:type="dxa"/>
            <w:vAlign w:val="bottom"/>
          </w:tcPr>
          <w:p>
            <w:pPr>
              <w:jc w:val="center"/>
              <w:ind w:right="867"/>
              <w:spacing w:after="0"/>
              <w:rPr>
                <w:sz w:val="20"/>
                <w:szCs w:val="20"/>
                <w:color w:val="auto"/>
              </w:rPr>
            </w:pPr>
            <w:r>
              <w:rPr>
                <w:rFonts w:ascii="Times New Roman" w:cs="Times New Roman" w:eastAsia="Times New Roman" w:hAnsi="Times New Roman"/>
                <w:sz w:val="15"/>
                <w:szCs w:val="15"/>
                <w:b w:val="1"/>
                <w:bCs w:val="1"/>
                <w:color w:val="auto"/>
              </w:rPr>
              <w:t>Cayman Islands</w:t>
            </w:r>
          </w:p>
        </w:tc>
        <w:tc>
          <w:tcPr>
            <w:tcW w:w="3860" w:type="dxa"/>
            <w:vAlign w:val="bottom"/>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rPr>
              <w:t>6770</w:t>
            </w:r>
          </w:p>
        </w:tc>
        <w:tc>
          <w:tcPr>
            <w:tcW w:w="2200" w:type="dxa"/>
            <w:vAlign w:val="bottom"/>
          </w:tcPr>
          <w:p>
            <w:pPr>
              <w:jc w:val="center"/>
              <w:ind w:left="987"/>
              <w:spacing w:after="0"/>
              <w:rPr>
                <w:sz w:val="20"/>
                <w:szCs w:val="20"/>
                <w:color w:val="auto"/>
              </w:rPr>
            </w:pPr>
            <w:r>
              <w:rPr>
                <w:rFonts w:ascii="Times New Roman" w:cs="Times New Roman" w:eastAsia="Times New Roman" w:hAnsi="Times New Roman"/>
                <w:sz w:val="15"/>
                <w:szCs w:val="15"/>
                <w:b w:val="1"/>
                <w:bCs w:val="1"/>
                <w:color w:val="auto"/>
              </w:rPr>
              <w:t>98-1592112</w:t>
            </w:r>
          </w:p>
        </w:tc>
      </w:tr>
      <w:tr>
        <w:trPr>
          <w:trHeight w:val="149"/>
        </w:trPr>
        <w:tc>
          <w:tcPr>
            <w:tcW w:w="2840" w:type="dxa"/>
            <w:vAlign w:val="bottom"/>
          </w:tcPr>
          <w:p>
            <w:pPr>
              <w:jc w:val="center"/>
              <w:ind w:right="88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c/o Ares Management LLC</w:t>
      </w: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245 Park Avenue, 44th Floor</w:t>
      </w:r>
    </w:p>
    <w:p>
      <w:pPr>
        <w:jc w:val="center"/>
        <w:ind w:right="-179"/>
        <w:spacing w:after="0" w:line="225" w:lineRule="auto"/>
        <w:rPr>
          <w:sz w:val="20"/>
          <w:szCs w:val="20"/>
          <w:color w:val="auto"/>
        </w:rPr>
      </w:pPr>
      <w:r>
        <w:rPr>
          <w:rFonts w:ascii="Times New Roman" w:cs="Times New Roman" w:eastAsia="Times New Roman" w:hAnsi="Times New Roman"/>
          <w:sz w:val="15"/>
          <w:szCs w:val="15"/>
          <w:b w:val="1"/>
          <w:bCs w:val="1"/>
          <w:color w:val="auto"/>
        </w:rPr>
        <w:t>New York, NY 10167</w:t>
      </w:r>
    </w:p>
    <w:p>
      <w:pPr>
        <w:jc w:val="center"/>
        <w:ind w:right="-179"/>
        <w:spacing w:after="0" w:line="218" w:lineRule="auto"/>
        <w:rPr>
          <w:sz w:val="20"/>
          <w:szCs w:val="20"/>
          <w:color w:val="auto"/>
        </w:rPr>
      </w:pPr>
      <w:r>
        <w:rPr>
          <w:rFonts w:ascii="Times New Roman" w:cs="Times New Roman" w:eastAsia="Times New Roman" w:hAnsi="Times New Roman"/>
          <w:sz w:val="15"/>
          <w:szCs w:val="15"/>
          <w:b w:val="1"/>
          <w:bCs w:val="1"/>
          <w:color w:val="auto"/>
        </w:rPr>
        <w:t>(310) 201-4100</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Peter Ogilvie</w:t>
      </w:r>
    </w:p>
    <w:p>
      <w:pPr>
        <w:jc w:val="center"/>
        <w:ind w:right="-179"/>
        <w:spacing w:after="0"/>
        <w:rPr>
          <w:sz w:val="20"/>
          <w:szCs w:val="20"/>
          <w:color w:val="auto"/>
        </w:rPr>
      </w:pPr>
      <w:r>
        <w:rPr>
          <w:rFonts w:ascii="Times New Roman" w:cs="Times New Roman" w:eastAsia="Times New Roman" w:hAnsi="Times New Roman"/>
          <w:sz w:val="15"/>
          <w:szCs w:val="15"/>
          <w:b w:val="1"/>
          <w:bCs w:val="1"/>
          <w:color w:val="auto"/>
        </w:rPr>
        <w:t>c/o Ares Management LLC</w:t>
      </w:r>
    </w:p>
    <w:p>
      <w:pPr>
        <w:jc w:val="center"/>
        <w:ind w:right="-179"/>
        <w:spacing w:after="0" w:line="225" w:lineRule="auto"/>
        <w:rPr>
          <w:sz w:val="20"/>
          <w:szCs w:val="20"/>
          <w:color w:val="auto"/>
        </w:rPr>
      </w:pPr>
      <w:r>
        <w:rPr>
          <w:rFonts w:ascii="Times New Roman" w:cs="Times New Roman" w:eastAsia="Times New Roman" w:hAnsi="Times New Roman"/>
          <w:sz w:val="15"/>
          <w:szCs w:val="15"/>
          <w:b w:val="1"/>
          <w:bCs w:val="1"/>
          <w:color w:val="auto"/>
        </w:rPr>
        <w:t>245 Park Avenue, 44th Floor</w:t>
      </w:r>
    </w:p>
    <w:p>
      <w:pPr>
        <w:jc w:val="center"/>
        <w:ind w:right="-179"/>
        <w:spacing w:after="0" w:line="225" w:lineRule="auto"/>
        <w:rPr>
          <w:sz w:val="20"/>
          <w:szCs w:val="20"/>
          <w:color w:val="auto"/>
        </w:rPr>
      </w:pPr>
      <w:r>
        <w:rPr>
          <w:rFonts w:ascii="Times New Roman" w:cs="Times New Roman" w:eastAsia="Times New Roman" w:hAnsi="Times New Roman"/>
          <w:sz w:val="15"/>
          <w:szCs w:val="15"/>
          <w:b w:val="1"/>
          <w:bCs w:val="1"/>
          <w:color w:val="auto"/>
        </w:rPr>
        <w:t>New York, NY 10167</w:t>
      </w:r>
    </w:p>
    <w:p>
      <w:pPr>
        <w:jc w:val="center"/>
        <w:ind w:right="-179"/>
        <w:spacing w:after="0" w:line="218" w:lineRule="auto"/>
        <w:rPr>
          <w:sz w:val="20"/>
          <w:szCs w:val="20"/>
          <w:color w:val="auto"/>
        </w:rPr>
      </w:pPr>
      <w:r>
        <w:rPr>
          <w:rFonts w:ascii="Times New Roman" w:cs="Times New Roman" w:eastAsia="Times New Roman" w:hAnsi="Times New Roman"/>
          <w:sz w:val="15"/>
          <w:szCs w:val="15"/>
          <w:b w:val="1"/>
          <w:bCs w:val="1"/>
          <w:color w:val="auto"/>
        </w:rPr>
        <w:t>(310) 201-4100</w:t>
      </w: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tbl>
      <w:tblPr>
        <w:tblLayout w:type="fixed"/>
        <w:tblInd w:w="820" w:type="dxa"/>
        <w:tblCellMar>
          <w:top w:w="0" w:type="dxa"/>
          <w:left w:w="0" w:type="dxa"/>
          <w:bottom w:w="0" w:type="dxa"/>
          <w:right w:w="0" w:type="dxa"/>
        </w:tblCellMar>
      </w:tblPr>
      <w:tr>
        <w:trPr>
          <w:trHeight w:val="202"/>
        </w:trPr>
        <w:tc>
          <w:tcPr>
            <w:tcW w:w="3080" w:type="dxa"/>
            <w:vAlign w:val="bottom"/>
          </w:tcPr>
          <w:p>
            <w:pPr>
              <w:spacing w:after="0"/>
              <w:rPr>
                <w:sz w:val="17"/>
                <w:szCs w:val="17"/>
                <w:color w:val="auto"/>
              </w:rPr>
            </w:pPr>
          </w:p>
        </w:tc>
        <w:tc>
          <w:tcPr>
            <w:tcW w:w="3720" w:type="dxa"/>
            <w:vAlign w:val="bottom"/>
          </w:tcPr>
          <w:p>
            <w:pPr>
              <w:ind w:left="1480"/>
              <w:spacing w:after="0"/>
              <w:rPr>
                <w:sz w:val="20"/>
                <w:szCs w:val="20"/>
                <w:color w:val="auto"/>
              </w:rPr>
            </w:pPr>
            <w:r>
              <w:rPr>
                <w:rFonts w:ascii="Times New Roman" w:cs="Times New Roman" w:eastAsia="Times New Roman" w:hAnsi="Times New Roman"/>
                <w:sz w:val="15"/>
                <w:szCs w:val="15"/>
                <w:b w:val="1"/>
                <w:bCs w:val="1"/>
                <w:i w:val="1"/>
                <w:iCs w:val="1"/>
                <w:color w:val="auto"/>
              </w:rPr>
              <w:t>Copies:</w:t>
            </w:r>
          </w:p>
        </w:tc>
        <w:tc>
          <w:tcPr>
            <w:tcW w:w="2700" w:type="dxa"/>
            <w:vAlign w:val="bottom"/>
          </w:tcPr>
          <w:p>
            <w:pPr>
              <w:spacing w:after="0"/>
              <w:rPr>
                <w:sz w:val="17"/>
                <w:szCs w:val="17"/>
                <w:color w:val="auto"/>
              </w:rPr>
            </w:pPr>
          </w:p>
        </w:tc>
      </w:tr>
      <w:tr>
        <w:trPr>
          <w:trHeight w:val="243"/>
        </w:trPr>
        <w:tc>
          <w:tcPr>
            <w:tcW w:w="3080" w:type="dxa"/>
            <w:vAlign w:val="bottom"/>
          </w:tcPr>
          <w:p>
            <w:pPr>
              <w:jc w:val="center"/>
              <w:ind w:right="664"/>
              <w:spacing w:after="0"/>
              <w:rPr>
                <w:sz w:val="20"/>
                <w:szCs w:val="20"/>
                <w:color w:val="auto"/>
              </w:rPr>
            </w:pPr>
            <w:r>
              <w:rPr>
                <w:rFonts w:ascii="Times New Roman" w:cs="Times New Roman" w:eastAsia="Times New Roman" w:hAnsi="Times New Roman"/>
                <w:sz w:val="15"/>
                <w:szCs w:val="15"/>
                <w:b w:val="1"/>
                <w:bCs w:val="1"/>
                <w:color w:val="auto"/>
              </w:rPr>
              <w:t>Monica J. Shilling, P.C.</w:t>
            </w:r>
          </w:p>
        </w:tc>
        <w:tc>
          <w:tcPr>
            <w:tcW w:w="37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Christian Nagler, P.C.</w:t>
            </w:r>
          </w:p>
        </w:tc>
        <w:tc>
          <w:tcPr>
            <w:tcW w:w="2700" w:type="dxa"/>
            <w:vAlign w:val="bottom"/>
          </w:tcPr>
          <w:p>
            <w:pPr>
              <w:jc w:val="center"/>
              <w:ind w:left="724"/>
              <w:spacing w:after="0"/>
              <w:rPr>
                <w:sz w:val="20"/>
                <w:szCs w:val="20"/>
                <w:color w:val="auto"/>
              </w:rPr>
            </w:pPr>
            <w:r>
              <w:rPr>
                <w:rFonts w:ascii="Times New Roman" w:cs="Times New Roman" w:eastAsia="Times New Roman" w:hAnsi="Times New Roman"/>
                <w:sz w:val="15"/>
                <w:szCs w:val="15"/>
                <w:b w:val="1"/>
                <w:bCs w:val="1"/>
                <w:color w:val="auto"/>
              </w:rPr>
              <w:t>Paul D. Tropp</w:t>
            </w:r>
          </w:p>
        </w:tc>
      </w:tr>
      <w:tr>
        <w:trPr>
          <w:trHeight w:val="162"/>
        </w:trPr>
        <w:tc>
          <w:tcPr>
            <w:tcW w:w="3080" w:type="dxa"/>
            <w:vAlign w:val="bottom"/>
          </w:tcPr>
          <w:p>
            <w:pPr>
              <w:jc w:val="center"/>
              <w:ind w:right="684"/>
              <w:spacing w:after="0" w:line="162" w:lineRule="exact"/>
              <w:rPr>
                <w:sz w:val="20"/>
                <w:szCs w:val="20"/>
                <w:color w:val="auto"/>
              </w:rPr>
            </w:pPr>
            <w:r>
              <w:rPr>
                <w:rFonts w:ascii="Times New Roman" w:cs="Times New Roman" w:eastAsia="Times New Roman" w:hAnsi="Times New Roman"/>
                <w:sz w:val="15"/>
                <w:szCs w:val="15"/>
                <w:b w:val="1"/>
                <w:bCs w:val="1"/>
                <w:color w:val="auto"/>
              </w:rPr>
              <w:t>Philippa Bond, P.C.</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Tamar Donikyan</w:t>
            </w:r>
          </w:p>
        </w:tc>
        <w:tc>
          <w:tcPr>
            <w:tcW w:w="2700" w:type="dxa"/>
            <w:vAlign w:val="bottom"/>
          </w:tcPr>
          <w:p>
            <w:pPr>
              <w:jc w:val="center"/>
              <w:ind w:left="724"/>
              <w:spacing w:after="0" w:line="162" w:lineRule="exact"/>
              <w:rPr>
                <w:sz w:val="20"/>
                <w:szCs w:val="20"/>
                <w:color w:val="auto"/>
              </w:rPr>
            </w:pPr>
            <w:r>
              <w:rPr>
                <w:rFonts w:ascii="Times New Roman" w:cs="Times New Roman" w:eastAsia="Times New Roman" w:hAnsi="Times New Roman"/>
                <w:sz w:val="15"/>
                <w:szCs w:val="15"/>
                <w:b w:val="1"/>
                <w:bCs w:val="1"/>
                <w:color w:val="auto"/>
              </w:rPr>
              <w:t>Ropes &amp; Gray LLP</w:t>
            </w:r>
          </w:p>
        </w:tc>
      </w:tr>
      <w:tr>
        <w:trPr>
          <w:trHeight w:val="162"/>
        </w:trPr>
        <w:tc>
          <w:tcPr>
            <w:tcW w:w="3080" w:type="dxa"/>
            <w:vAlign w:val="bottom"/>
          </w:tcPr>
          <w:p>
            <w:pPr>
              <w:jc w:val="center"/>
              <w:ind w:right="684"/>
              <w:spacing w:after="0" w:line="162" w:lineRule="exact"/>
              <w:rPr>
                <w:sz w:val="20"/>
                <w:szCs w:val="20"/>
                <w:color w:val="auto"/>
              </w:rPr>
            </w:pPr>
            <w:r>
              <w:rPr>
                <w:rFonts w:ascii="Times New Roman" w:cs="Times New Roman" w:eastAsia="Times New Roman" w:hAnsi="Times New Roman"/>
                <w:sz w:val="15"/>
                <w:szCs w:val="15"/>
                <w:b w:val="1"/>
                <w:bCs w:val="1"/>
                <w:color w:val="auto"/>
              </w:rPr>
              <w:t>H. Thomas Felix</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Kirkland &amp; Ellis LLP</w:t>
            </w:r>
          </w:p>
        </w:tc>
        <w:tc>
          <w:tcPr>
            <w:tcW w:w="2700" w:type="dxa"/>
            <w:vAlign w:val="bottom"/>
          </w:tcPr>
          <w:p>
            <w:pPr>
              <w:jc w:val="center"/>
              <w:ind w:left="724"/>
              <w:spacing w:after="0" w:line="162" w:lineRule="exact"/>
              <w:rPr>
                <w:sz w:val="20"/>
                <w:szCs w:val="20"/>
                <w:color w:val="auto"/>
              </w:rPr>
            </w:pPr>
            <w:r>
              <w:rPr>
                <w:rFonts w:ascii="Times New Roman" w:cs="Times New Roman" w:eastAsia="Times New Roman" w:hAnsi="Times New Roman"/>
                <w:sz w:val="15"/>
                <w:szCs w:val="15"/>
                <w:b w:val="1"/>
                <w:bCs w:val="1"/>
                <w:color w:val="auto"/>
              </w:rPr>
              <w:t>1211 Avenue of the Americas</w:t>
            </w:r>
          </w:p>
        </w:tc>
      </w:tr>
      <w:tr>
        <w:trPr>
          <w:trHeight w:val="162"/>
        </w:trPr>
        <w:tc>
          <w:tcPr>
            <w:tcW w:w="3080" w:type="dxa"/>
            <w:vAlign w:val="bottom"/>
          </w:tcPr>
          <w:p>
            <w:pPr>
              <w:jc w:val="center"/>
              <w:ind w:right="684"/>
              <w:spacing w:after="0" w:line="162" w:lineRule="exact"/>
              <w:rPr>
                <w:sz w:val="20"/>
                <w:szCs w:val="20"/>
                <w:color w:val="auto"/>
              </w:rPr>
            </w:pPr>
            <w:r>
              <w:rPr>
                <w:rFonts w:ascii="Times New Roman" w:cs="Times New Roman" w:eastAsia="Times New Roman" w:hAnsi="Times New Roman"/>
                <w:sz w:val="15"/>
                <w:szCs w:val="15"/>
                <w:b w:val="1"/>
                <w:bCs w:val="1"/>
                <w:color w:val="auto"/>
              </w:rPr>
              <w:t>Kirkland &amp; Ellis LLP</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601 Lexington Avenue New York,</w:t>
            </w:r>
          </w:p>
        </w:tc>
        <w:tc>
          <w:tcPr>
            <w:tcW w:w="2700" w:type="dxa"/>
            <w:vAlign w:val="bottom"/>
          </w:tcPr>
          <w:p>
            <w:pPr>
              <w:jc w:val="center"/>
              <w:ind w:left="724"/>
              <w:spacing w:after="0" w:line="162" w:lineRule="exact"/>
              <w:rPr>
                <w:sz w:val="20"/>
                <w:szCs w:val="20"/>
                <w:color w:val="auto"/>
              </w:rPr>
            </w:pPr>
            <w:r>
              <w:rPr>
                <w:rFonts w:ascii="Times New Roman" w:cs="Times New Roman" w:eastAsia="Times New Roman" w:hAnsi="Times New Roman"/>
                <w:sz w:val="15"/>
                <w:szCs w:val="15"/>
                <w:b w:val="1"/>
                <w:bCs w:val="1"/>
                <w:color w:val="auto"/>
                <w:w w:val="99"/>
              </w:rPr>
              <w:t>New York, New York 10036</w:t>
            </w:r>
          </w:p>
        </w:tc>
      </w:tr>
      <w:tr>
        <w:trPr>
          <w:trHeight w:val="162"/>
        </w:trPr>
        <w:tc>
          <w:tcPr>
            <w:tcW w:w="3080" w:type="dxa"/>
            <w:vAlign w:val="bottom"/>
          </w:tcPr>
          <w:p>
            <w:pPr>
              <w:jc w:val="center"/>
              <w:ind w:right="664"/>
              <w:spacing w:after="0" w:line="162" w:lineRule="exact"/>
              <w:rPr>
                <w:sz w:val="20"/>
                <w:szCs w:val="20"/>
                <w:color w:val="auto"/>
              </w:rPr>
            </w:pPr>
            <w:r>
              <w:rPr>
                <w:rFonts w:ascii="Times New Roman" w:cs="Times New Roman" w:eastAsia="Times New Roman" w:hAnsi="Times New Roman"/>
                <w:sz w:val="15"/>
                <w:szCs w:val="15"/>
                <w:b w:val="1"/>
                <w:bCs w:val="1"/>
                <w:color w:val="auto"/>
              </w:rPr>
              <w:t>2049 Century Park East, 37th Floor</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New York 10022</w:t>
            </w:r>
          </w:p>
        </w:tc>
        <w:tc>
          <w:tcPr>
            <w:tcW w:w="2700" w:type="dxa"/>
            <w:vAlign w:val="bottom"/>
          </w:tcPr>
          <w:p>
            <w:pPr>
              <w:jc w:val="center"/>
              <w:ind w:left="724"/>
              <w:spacing w:after="0" w:line="162" w:lineRule="exact"/>
              <w:rPr>
                <w:sz w:val="20"/>
                <w:szCs w:val="20"/>
                <w:color w:val="auto"/>
              </w:rPr>
            </w:pPr>
            <w:r>
              <w:rPr>
                <w:rFonts w:ascii="Times New Roman" w:cs="Times New Roman" w:eastAsia="Times New Roman" w:hAnsi="Times New Roman"/>
                <w:sz w:val="15"/>
                <w:szCs w:val="15"/>
                <w:b w:val="1"/>
                <w:bCs w:val="1"/>
                <w:color w:val="auto"/>
              </w:rPr>
              <w:t>Tel: (212) 596-9000</w:t>
            </w:r>
          </w:p>
        </w:tc>
      </w:tr>
      <w:tr>
        <w:trPr>
          <w:trHeight w:val="162"/>
        </w:trPr>
        <w:tc>
          <w:tcPr>
            <w:tcW w:w="3080" w:type="dxa"/>
            <w:vAlign w:val="bottom"/>
          </w:tcPr>
          <w:p>
            <w:pPr>
              <w:jc w:val="center"/>
              <w:ind w:right="664"/>
              <w:spacing w:after="0" w:line="162" w:lineRule="exact"/>
              <w:rPr>
                <w:sz w:val="20"/>
                <w:szCs w:val="20"/>
                <w:color w:val="auto"/>
              </w:rPr>
            </w:pPr>
            <w:r>
              <w:rPr>
                <w:rFonts w:ascii="Times New Roman" w:cs="Times New Roman" w:eastAsia="Times New Roman" w:hAnsi="Times New Roman"/>
                <w:sz w:val="15"/>
                <w:szCs w:val="15"/>
                <w:b w:val="1"/>
                <w:bCs w:val="1"/>
                <w:color w:val="auto"/>
              </w:rPr>
              <w:t>Los Angeles, CA 90067</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Tel: (212) 446-4800</w:t>
            </w:r>
          </w:p>
        </w:tc>
        <w:tc>
          <w:tcPr>
            <w:tcW w:w="2700" w:type="dxa"/>
            <w:vAlign w:val="bottom"/>
          </w:tcPr>
          <w:p>
            <w:pPr>
              <w:jc w:val="center"/>
              <w:ind w:left="724"/>
              <w:spacing w:after="0" w:line="162" w:lineRule="exact"/>
              <w:rPr>
                <w:sz w:val="20"/>
                <w:szCs w:val="20"/>
                <w:color w:val="auto"/>
              </w:rPr>
            </w:pPr>
            <w:r>
              <w:rPr>
                <w:rFonts w:ascii="Times New Roman" w:cs="Times New Roman" w:eastAsia="Times New Roman" w:hAnsi="Times New Roman"/>
                <w:sz w:val="15"/>
                <w:szCs w:val="15"/>
                <w:b w:val="1"/>
                <w:bCs w:val="1"/>
                <w:color w:val="auto"/>
              </w:rPr>
              <w:t>Fax: (212) 596-9090</w:t>
            </w:r>
          </w:p>
        </w:tc>
      </w:tr>
      <w:tr>
        <w:trPr>
          <w:trHeight w:val="162"/>
        </w:trPr>
        <w:tc>
          <w:tcPr>
            <w:tcW w:w="3080" w:type="dxa"/>
            <w:vAlign w:val="bottom"/>
          </w:tcPr>
          <w:p>
            <w:pPr>
              <w:jc w:val="center"/>
              <w:ind w:right="684"/>
              <w:spacing w:after="0" w:line="162" w:lineRule="exact"/>
              <w:rPr>
                <w:sz w:val="20"/>
                <w:szCs w:val="20"/>
                <w:color w:val="auto"/>
              </w:rPr>
            </w:pPr>
            <w:r>
              <w:rPr>
                <w:rFonts w:ascii="Times New Roman" w:cs="Times New Roman" w:eastAsia="Times New Roman" w:hAnsi="Times New Roman"/>
                <w:sz w:val="15"/>
                <w:szCs w:val="15"/>
                <w:b w:val="1"/>
                <w:bCs w:val="1"/>
                <w:color w:val="auto"/>
              </w:rPr>
              <w:t>Tel: (310) 552-4200</w:t>
            </w:r>
          </w:p>
        </w:tc>
        <w:tc>
          <w:tcPr>
            <w:tcW w:w="3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Fax: (212) 446-4900</w:t>
            </w:r>
          </w:p>
        </w:tc>
        <w:tc>
          <w:tcPr>
            <w:tcW w:w="2700" w:type="dxa"/>
            <w:vAlign w:val="bottom"/>
          </w:tcPr>
          <w:p>
            <w:pPr>
              <w:spacing w:after="0"/>
              <w:rPr>
                <w:sz w:val="14"/>
                <w:szCs w:val="14"/>
                <w:color w:val="auto"/>
              </w:rPr>
            </w:pPr>
          </w:p>
        </w:tc>
      </w:tr>
      <w:tr>
        <w:trPr>
          <w:trHeight w:val="202"/>
        </w:trPr>
        <w:tc>
          <w:tcPr>
            <w:tcW w:w="3080" w:type="dxa"/>
            <w:vAlign w:val="bottom"/>
          </w:tcPr>
          <w:p>
            <w:pPr>
              <w:jc w:val="center"/>
              <w:ind w:right="664"/>
              <w:spacing w:after="0"/>
              <w:rPr>
                <w:sz w:val="20"/>
                <w:szCs w:val="20"/>
                <w:color w:val="auto"/>
              </w:rPr>
            </w:pPr>
            <w:r>
              <w:rPr>
                <w:rFonts w:ascii="Times New Roman" w:cs="Times New Roman" w:eastAsia="Times New Roman" w:hAnsi="Times New Roman"/>
                <w:sz w:val="15"/>
                <w:szCs w:val="15"/>
                <w:b w:val="1"/>
                <w:bCs w:val="1"/>
                <w:color w:val="auto"/>
              </w:rPr>
              <w:t>Fax: (310) 552-5900</w:t>
            </w:r>
          </w:p>
        </w:tc>
        <w:tc>
          <w:tcPr>
            <w:tcW w:w="372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As soon as practicable after the effective date of this registration statement.</w:t>
      </w:r>
    </w:p>
    <w:p>
      <w:pPr>
        <w:spacing w:after="0" w:line="102" w:lineRule="exact"/>
        <w:rPr>
          <w:sz w:val="24"/>
          <w:szCs w:val="24"/>
          <w:color w:val="auto"/>
        </w:rPr>
      </w:pPr>
    </w:p>
    <w:p>
      <w:pPr>
        <w:ind w:left="120" w:right="26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69" w:lineRule="exact"/>
        <w:rPr>
          <w:sz w:val="24"/>
          <w:szCs w:val="24"/>
          <w:color w:val="auto"/>
        </w:rPr>
      </w:pPr>
    </w:p>
    <w:p>
      <w:pPr>
        <w:ind w:left="120" w:right="14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120" w:right="6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120" w:right="4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9" w:lineRule="exact"/>
        <w:rPr>
          <w:sz w:val="24"/>
          <w:szCs w:val="24"/>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Accelerated filer</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320" w:type="dxa"/>
            <w:vAlign w:val="bottom"/>
          </w:tcPr>
          <w:p>
            <w:pPr>
              <w:ind w:left="3500"/>
              <w:spacing w:after="0"/>
              <w:rPr>
                <w:sz w:val="20"/>
                <w:szCs w:val="20"/>
                <w:color w:val="auto"/>
              </w:rPr>
            </w:pPr>
            <w:r>
              <w:rPr>
                <w:rFonts w:ascii="Times New Roman" w:cs="Times New Roman" w:eastAsia="Times New Roman" w:hAnsi="Times New Roman"/>
                <w:sz w:val="15"/>
                <w:szCs w:val="15"/>
                <w:color w:val="auto"/>
              </w:rPr>
              <w:t>Emerging growth company</w:t>
            </w:r>
          </w:p>
        </w:tc>
        <w:tc>
          <w:tcPr>
            <w:tcW w:w="300" w:type="dxa"/>
            <w:vAlign w:val="bottom"/>
          </w:tcPr>
          <w:p>
            <w:pPr>
              <w:ind w:left="1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69" w:lineRule="exact"/>
        <w:rPr>
          <w:sz w:val="24"/>
          <w:szCs w:val="24"/>
          <w:color w:val="auto"/>
        </w:rPr>
      </w:pPr>
    </w:p>
    <w:p>
      <w:pPr>
        <w:ind w:left="120" w:right="46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140970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48" w:lineRule="exact"/>
        <w:rPr>
          <w:sz w:val="24"/>
          <w:szCs w:val="24"/>
          <w:color w:val="auto"/>
        </w:rPr>
      </w:pPr>
    </w:p>
    <w:p>
      <w:pPr>
        <w:ind w:left="120" w:right="200" w:firstLine="440"/>
        <w:spacing w:after="0" w:line="239"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6" w:right="519" w:bottom="103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EB0029"/>
        </w:rPr>
        <w:t>Subject to Completion, Dated February 22,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EB0029"/>
        </w:rPr>
        <w:t>PRELIMINARY PROSPECTUS</w:t>
      </w:r>
    </w:p>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Ares Acquisition Corporation II</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$100,000,000</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238760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6"/>
          <w:szCs w:val="16"/>
          <w:color w:val="auto"/>
        </w:rPr>
        <w:t>Ares Acquisition Corporation II is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We may pursue an initial business combination target in any business or industry.</w:t>
      </w:r>
    </w:p>
    <w:p>
      <w:pPr>
        <w:spacing w:after="0" w:line="142"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6"/>
          <w:szCs w:val="16"/>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terms and limitations as described herein. Each whole warrant will become exercisable on the later of: (i) thirty (30) days after the completion of an initial business combination and (ii) one</w:t>
      </w:r>
    </w:p>
    <w:p>
      <w:pPr>
        <w:spacing w:after="0" w:line="1" w:lineRule="exact"/>
        <w:rPr>
          <w:sz w:val="20"/>
          <w:szCs w:val="20"/>
          <w:color w:val="auto"/>
        </w:rPr>
      </w:pPr>
    </w:p>
    <w:p>
      <w:pPr>
        <w:ind w:left="120" w:right="760" w:hanging="4"/>
        <w:spacing w:after="0" w:line="288" w:lineRule="auto"/>
        <w:tabs>
          <w:tab w:leader="none" w:pos="34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 from the date of this prospectus, and will expire five (5) years after the completion of an initial business combination, or earlier upon redemption. The underwriters have a 45-day option from the date of this prospectus to purchase up to 1,500,000 additional units to cover over-allotments, if any.</w:t>
      </w:r>
    </w:p>
    <w:p>
      <w:pPr>
        <w:spacing w:after="0" w:line="145" w:lineRule="exact"/>
        <w:rPr>
          <w:sz w:val="20"/>
          <w:szCs w:val="20"/>
          <w:color w:val="auto"/>
        </w:rPr>
      </w:pPr>
    </w:p>
    <w:p>
      <w:pPr>
        <w:ind w:left="120" w:right="560"/>
        <w:spacing w:after="0" w:line="298" w:lineRule="auto"/>
        <w:rPr>
          <w:sz w:val="20"/>
          <w:szCs w:val="20"/>
          <w:color w:val="auto"/>
        </w:rPr>
      </w:pPr>
      <w:r>
        <w:rPr>
          <w:rFonts w:ascii="Times New Roman" w:cs="Times New Roman" w:eastAsia="Times New Roman" w:hAnsi="Times New Roman"/>
          <w:sz w:val="16"/>
          <w:szCs w:val="16"/>
          <w:color w:val="auto"/>
        </w:rPr>
        <w:t>We will provide our public shareholders with the opportunity to have all or a portion of their Class A ordinary shares redeemed upon the completion of our initial business combination, subject to the limitations described herein.</w:t>
      </w:r>
    </w:p>
    <w:p>
      <w:pPr>
        <w:spacing w:after="0" w:line="124"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6"/>
          <w:szCs w:val="16"/>
          <w:color w:val="auto"/>
        </w:rPr>
        <w:t>Our sponsor, Ares Acquisition Holdings II LP, has agreed to purchase 7,000,000 warrants (or 7,300,000 warrants if the underwriters’ over-allotment option is exercised in full), each exercisable to purchase one Class A ordinary share at $11.50 per share, at a price of $1.00 per warrant, in a private placement to occur concurrently with the closing of this offering. In addition, our sponsor has agreed to lend us $1,000,000 (and up to an additional $150,000 if the underwriters’ over-allotment option is exercised in full) as of the closing date of this offering at no interest, which we refer to throughout this prospectus as the overfunding loans. The overfunding loans will be repaid upon the closing of our initial business combination or converted into warrants of the post-business combination entity at a price of $1.00 per warrant (or any combination thereof), at our sponsor’s discretion, which warrants will be identical to the private placement warrants. The overfunding loans are being extended in order to ensure that the amount in the trust account is $10.10 per public share. If we do not complete an initial business combination, we will not repay the overfunding loans from amounts held in the trust account, and its proceeds will be distributed to our public shareholders; however, we may repay the overfunding loans if there are funds available outside the trust account to do so.</w:t>
      </w:r>
    </w:p>
    <w:p>
      <w:pPr>
        <w:spacing w:after="0" w:line="14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6"/>
          <w:szCs w:val="16"/>
          <w:color w:val="auto"/>
        </w:rPr>
        <w:t>Our sponsor (together with its permitted transferees) currently owns 2,875,000 Class B ordinary shares, up to 375,000 of which are subject to forfeiture depending on the extent to which the underwriters’ over-allotment option is exercised. The Class B ordinary shares will automatically convert into Class A ordinary shares at the time of the consummation of our initial business combination or earlier at the option of the holders thereof as described herein. On all matters submitted to a vote of our shareholders, holders of our Class A Ordinary Shares and holders of our Class B Ordinary Shares will vote together as a single class, except as required by the laws of the Cayman Islands.</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Of the proceeds we receive from this offering, the sale of the private placement warrants and the overfunding loans described in this prospectus, $101,000,000, or</w:t>
      </w:r>
    </w:p>
    <w:p>
      <w:pPr>
        <w:spacing w:after="0" w:line="26"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6"/>
          <w:szCs w:val="16"/>
          <w:color w:val="auto"/>
        </w:rPr>
        <w:t>$116,150,000 if the underwriters’ over-allotment option is exercised in full ($10.10 per unit in either case), will be deposited into a trust account with Continental Stock Transfer &amp; Trust Company acting as trustee. Except with respect to interest earned on the funds held in the trust account that may be released to us to pay taxes payable and up to $100,000 of dissolution expenses, if any, the funds held in the trust account will not be released from the trust account until the earliest to occur of: (i) the completion of our initial business combination or earlier at our option;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as described in this prospectus), or (B) with respect to any other material provisions relating to shareholders’ rights or pre-initial business combination activity; or (iii) the</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16"/>
          <w:szCs w:val="16"/>
          <w:color w:val="auto"/>
        </w:rPr>
        <w:t>inability to complete an initial business combination within 20 months, or such earlier date as our board of directors may approve, from the closing of this offering (or up to 24 months from the closing of this offering if we extend the period of time to consummate a business combination). The proceeds deposited in the trust account could become subject to the claims of our creditors, if any, which could have priority over the claims of our public shareholders.</w:t>
      </w:r>
    </w:p>
    <w:p>
      <w:pPr>
        <w:spacing w:after="0" w:line="150" w:lineRule="exact"/>
        <w:rPr>
          <w:sz w:val="20"/>
          <w:szCs w:val="20"/>
          <w:color w:val="auto"/>
        </w:rPr>
      </w:pPr>
    </w:p>
    <w:p>
      <w:pPr>
        <w:ind w:left="120"/>
        <w:spacing w:after="0" w:line="265" w:lineRule="auto"/>
        <w:rPr>
          <w:sz w:val="20"/>
          <w:szCs w:val="20"/>
          <w:color w:val="auto"/>
        </w:rPr>
      </w:pPr>
      <w:r>
        <w:rPr>
          <w:rFonts w:ascii="Times New Roman" w:cs="Times New Roman" w:eastAsia="Times New Roman" w:hAnsi="Times New Roman"/>
          <w:sz w:val="16"/>
          <w:szCs w:val="16"/>
          <w:color w:val="auto"/>
        </w:rPr>
        <w:t>We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w:t>
      </w:r>
    </w:p>
    <w:p>
      <w:pPr>
        <w:spacing w:after="0" w:line="3" w:lineRule="exact"/>
        <w:rPr>
          <w:sz w:val="20"/>
          <w:szCs w:val="20"/>
          <w:color w:val="auto"/>
        </w:rPr>
      </w:pPr>
    </w:p>
    <w:p>
      <w:pPr>
        <w:ind w:left="120"/>
        <w:spacing w:after="0"/>
        <w:tabs>
          <w:tab w:leader="none" w:pos="7100" w:val="left"/>
          <w:tab w:leader="none" w:pos="8080" w:val="left"/>
        </w:tabs>
        <w:rPr>
          <w:sz w:val="20"/>
          <w:szCs w:val="20"/>
          <w:color w:val="auto"/>
        </w:rPr>
      </w:pPr>
      <w:r>
        <w:rPr>
          <w:rFonts w:ascii="Times New Roman" w:cs="Times New Roman" w:eastAsia="Times New Roman" w:hAnsi="Times New Roman"/>
          <w:sz w:val="16"/>
          <w:szCs w:val="16"/>
          <w:color w:val="auto"/>
        </w:rPr>
        <w:t>to an aggregate of 24 months, by depositing into the trust account for each two-month extension $</w:t>
      </w:r>
      <w:r>
        <w:rPr>
          <w:sz w:val="20"/>
          <w:szCs w:val="20"/>
          <w:color w:val="auto"/>
        </w:rPr>
        <w:tab/>
      </w:r>
      <w:r>
        <w:rPr>
          <w:rFonts w:ascii="Times New Roman" w:cs="Times New Roman" w:eastAsia="Times New Roman" w:hAnsi="Times New Roman"/>
          <w:sz w:val="16"/>
          <w:szCs w:val="16"/>
          <w:color w:val="auto"/>
        </w:rPr>
        <w:t>, or $</w:t>
      </w:r>
      <w:r>
        <w:rPr>
          <w:sz w:val="20"/>
          <w:szCs w:val="20"/>
          <w:color w:val="auto"/>
        </w:rPr>
        <w:tab/>
      </w:r>
      <w:r>
        <w:rPr>
          <w:rFonts w:ascii="Times New Roman" w:cs="Times New Roman" w:eastAsia="Times New Roman" w:hAnsi="Times New Roman"/>
          <w:sz w:val="16"/>
          <w:szCs w:val="16"/>
          <w:color w:val="auto"/>
        </w:rPr>
        <w:t>if the underwriters’ over-allotment option is</w:t>
      </w:r>
    </w:p>
    <w:p>
      <w:pPr>
        <w:spacing w:after="0" w:line="19"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6"/>
          <w:szCs w:val="16"/>
          <w:color w:val="auto"/>
        </w:rPr>
        <w:t>exercised in full ($0. per public share in either case). In this case, shareholders will not be offered an opportunity to vote on an extension and holders of Class A ordinary shares will not be offered an opportunity to redeem their shares. If we are unable to complete our initial business combination within 20 months, or such earlier date as our board of directors may approve, from the closing of this offering (or up to 24 months from the closing of this offering if we extend the period of time to consummate a business combination), we will redeem 100% of the Class A ordinary shares at a per share price, payable in cash, equal to the aggregate amount then on deposit in the trust account, including interest earned thereon (less taxes payable and up to $100,000 of interest to pay dissolution expenses), divided by the number of then issued and outstanding Class A ordinary shares, subject to applicable law and certain conditions as further described herein.</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Currently, there is no public market for our securities. We intend to apply to have our units listed on the New York Stock Exchange (the “NYSE”), under the symbol</w:t>
      </w:r>
    </w:p>
    <w:p>
      <w:pPr>
        <w:ind w:left="120"/>
        <w:spacing w:after="0" w:line="190" w:lineRule="auto"/>
        <w:rPr>
          <w:sz w:val="20"/>
          <w:szCs w:val="20"/>
          <w:color w:val="auto"/>
        </w:rPr>
      </w:pPr>
      <w:r>
        <w:rPr>
          <w:rFonts w:ascii="Times New Roman" w:cs="Times New Roman" w:eastAsia="Times New Roman" w:hAnsi="Times New Roman"/>
          <w:sz w:val="4"/>
          <w:szCs w:val="4"/>
          <w:color w:val="auto"/>
        </w:rPr>
        <w:t>“” on or promptly after the date of this prospectus. We cannot guarantee that our securities will be approved for listing on the NYSE. We expect that the</w:t>
      </w:r>
    </w:p>
    <w:p>
      <w:pPr>
        <w:spacing w:after="0" w:line="185" w:lineRule="exact"/>
        <w:rPr>
          <w:sz w:val="20"/>
          <w:szCs w:val="20"/>
          <w:color w:val="auto"/>
        </w:rPr>
      </w:pPr>
    </w:p>
    <w:p>
      <w:pPr>
        <w:ind w:left="120" w:right="40"/>
        <w:spacing w:after="0" w:line="298" w:lineRule="auto"/>
        <w:rPr>
          <w:sz w:val="20"/>
          <w:szCs w:val="20"/>
          <w:color w:val="auto"/>
        </w:rPr>
      </w:pPr>
      <w:r>
        <w:rPr>
          <w:rFonts w:ascii="Times New Roman" w:cs="Times New Roman" w:eastAsia="Times New Roman" w:hAnsi="Times New Roman"/>
          <w:sz w:val="16"/>
          <w:szCs w:val="16"/>
          <w:color w:val="auto"/>
        </w:rPr>
        <w:t>Class A ordinary shares and warrants comprising the units will begin separate trading on the NYSE under the symbols “ ” and “ ,” respectively, on the 52nd day following the date of this prospectus unless the underwriters permit earlier separate trading and we have satisfied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20" w:right="280"/>
        <w:spacing w:after="0" w:line="250" w:lineRule="auto"/>
        <w:rPr>
          <w:sz w:val="20"/>
          <w:szCs w:val="20"/>
          <w:color w:val="auto"/>
        </w:rPr>
      </w:pPr>
      <w:r>
        <w:rPr>
          <w:rFonts w:ascii="Times New Roman" w:cs="Times New Roman" w:eastAsia="Times New Roman" w:hAnsi="Times New Roman"/>
          <w:sz w:val="20"/>
          <w:szCs w:val="20"/>
          <w:b w:val="1"/>
          <w:bCs w:val="1"/>
          <w:color w:val="auto"/>
        </w:rPr>
        <w:t>We are an “emerging growth company” under applicable federal securities laws and will be subject to reduced public company reporting requirements. Investing in our securities involves a high degree of risk. See “</w:t>
      </w:r>
      <w:r>
        <w:rPr>
          <w:rFonts w:ascii="Times New Roman" w:cs="Times New Roman" w:eastAsia="Times New Roman" w:hAnsi="Times New Roman"/>
          <w:sz w:val="20"/>
          <w:szCs w:val="20"/>
          <w:b w:val="1"/>
          <w:bCs w:val="1"/>
          <w:i w:val="1"/>
          <w:iCs w:val="1"/>
          <w:u w:val="single" w:color="auto"/>
          <w:color w:val="0000EE"/>
        </w:rPr>
        <w:t>Risk Factors</w:t>
      </w:r>
      <w:r>
        <w:rPr>
          <w:rFonts w:ascii="Times New Roman" w:cs="Times New Roman" w:eastAsia="Times New Roman" w:hAnsi="Times New Roman"/>
          <w:sz w:val="20"/>
          <w:szCs w:val="20"/>
          <w:b w:val="1"/>
          <w:bCs w:val="1"/>
          <w:color w:val="auto"/>
        </w:rPr>
        <w:t>” beginning on page 41 for a discussion of information that should be considered in connection with an investment in our securities. Investors will not be entitled to protections normally afforded to investors in Rule 419 blank check offerings.</w:t>
      </w:r>
    </w:p>
    <w:p>
      <w:pPr>
        <w:spacing w:after="0" w:line="148" w:lineRule="exact"/>
        <w:rPr>
          <w:sz w:val="20"/>
          <w:szCs w:val="20"/>
          <w:color w:val="auto"/>
        </w:rPr>
      </w:pPr>
    </w:p>
    <w:p>
      <w:pPr>
        <w:ind w:left="120" w:right="120"/>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5,500,000</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75" w:lineRule="auto"/>
        <w:tabs>
          <w:tab w:leader="none" w:pos="5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$0.35 per unit, or $3,500,000 in the aggregate (or $4,025,000 in the aggregate if the underwriters’ over-allotment option is exercised in full), payable to the underwriters for deferred underwriting commissions to be placed in a trust account located in the United States as described herein and released to the underwriters only upon the consummation of an initial business combination. See also “Underwriting” for a description of compensation and other items of value payable to the underwriters.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00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The underwriters are offering the units for sale on a firm commitment basis. The underwriters expect to deliver the units to the purchasers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2023.</w:t>
            </w:r>
          </w:p>
        </w:tc>
      </w:tr>
      <w:tr>
        <w:trPr>
          <w:trHeight w:val="528"/>
        </w:trPr>
        <w:tc>
          <w:tcPr>
            <w:tcW w:w="6300" w:type="dxa"/>
            <w:vAlign w:val="bottom"/>
            <w:gridSpan w:val="2"/>
          </w:tcPr>
          <w:p>
            <w:pPr>
              <w:spacing w:after="0"/>
              <w:rPr>
                <w:sz w:val="20"/>
                <w:szCs w:val="20"/>
                <w:color w:val="auto"/>
              </w:rPr>
            </w:pPr>
            <w:r>
              <w:rPr>
                <w:rFonts w:ascii="Times New Roman" w:cs="Times New Roman" w:eastAsia="Times New Roman" w:hAnsi="Times New Roman"/>
                <w:sz w:val="25"/>
                <w:szCs w:val="25"/>
                <w:b w:val="1"/>
                <w:bCs w:val="1"/>
                <w:color w:val="auto"/>
              </w:rPr>
              <w:t>Citigroup</w:t>
            </w: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43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65"/>
        </w:trPr>
        <w:tc>
          <w:tcPr>
            <w:tcW w:w="6300" w:type="dxa"/>
            <w:vAlign w:val="bottom"/>
            <w:gridSpan w:val="2"/>
          </w:tcPr>
          <w:p>
            <w:pPr>
              <w:ind w:left="396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3720" w:type="dxa"/>
            <w:vAlign w:val="bottom"/>
            <w:gridSpan w:val="2"/>
          </w:tcPr>
          <w:p>
            <w:pPr>
              <w:jc w:val="right"/>
              <w:ind w:right="2960"/>
              <w:spacing w:after="0"/>
              <w:rPr>
                <w:sz w:val="20"/>
                <w:szCs w:val="20"/>
                <w:color w:val="auto"/>
              </w:rPr>
            </w:pPr>
            <w:r>
              <w:rPr>
                <w:rFonts w:ascii="Times New Roman" w:cs="Times New Roman" w:eastAsia="Times New Roman" w:hAnsi="Times New Roman"/>
                <w:sz w:val="16"/>
                <w:szCs w:val="16"/>
                <w:b w:val="1"/>
                <w:bCs w:val="1"/>
                <w:color w:val="auto"/>
              </w:rPr>
              <w:t>, 2023</w:t>
            </w:r>
          </w:p>
        </w:tc>
        <w:tc>
          <w:tcPr>
            <w:tcW w:w="78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2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SUMMARY</w:t>
            </w:r>
          </w:p>
        </w:tc>
        <w:tc>
          <w:tcPr>
            <w:tcW w:w="8860" w:type="dxa"/>
            <w:vAlign w:val="bottom"/>
            <w:gridSpan w:val="16"/>
          </w:tcPr>
          <w:p>
            <w:pPr>
              <w:spacing w:after="0"/>
              <w:rPr>
                <w:sz w:val="16"/>
                <w:szCs w:val="16"/>
                <w:color w:val="auto"/>
              </w:rPr>
            </w:pP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18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r>
      <w:tr>
        <w:trPr>
          <w:trHeight w:val="196"/>
        </w:trPr>
        <w:tc>
          <w:tcPr>
            <w:tcW w:w="18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PROPOSED BUSINESS</w:t>
            </w:r>
          </w:p>
        </w:tc>
        <w:tc>
          <w:tcPr>
            <w:tcW w:w="7080" w:type="dxa"/>
            <w:vAlign w:val="bottom"/>
            <w:tcBorders>
              <w:top w:val="single" w:sz="8" w:color="0000EE"/>
            </w:tcBorders>
            <w:gridSpan w:val="7"/>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SHAREHOLDERS</w:t>
            </w:r>
          </w:p>
        </w:tc>
        <w:tc>
          <w:tcPr>
            <w:tcW w:w="740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196"/>
        </w:trPr>
        <w:tc>
          <w:tcPr>
            <w:tcW w:w="5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3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TAXATION</w:t>
            </w:r>
          </w:p>
        </w:tc>
        <w:tc>
          <w:tcPr>
            <w:tcW w:w="1600" w:type="dxa"/>
            <w:vAlign w:val="bottom"/>
            <w:tcBorders>
              <w:top w:val="single" w:sz="8" w:color="0000EE"/>
            </w:tcBorders>
            <w:gridSpan w:val="11"/>
          </w:tcPr>
          <w:p>
            <w:pPr>
              <w:spacing w:after="0"/>
              <w:rPr>
                <w:sz w:val="17"/>
                <w:szCs w:val="17"/>
                <w:color w:val="auto"/>
              </w:rPr>
            </w:pPr>
          </w:p>
        </w:tc>
        <w:tc>
          <w:tcPr>
            <w:tcW w:w="728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8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1360" w:type="dxa"/>
            <w:vAlign w:val="bottom"/>
            <w:tcBorders>
              <w:top w:val="single" w:sz="8" w:color="0000EE"/>
            </w:tcBorders>
          </w:tcPr>
          <w:p>
            <w:pPr>
              <w:spacing w:after="0"/>
              <w:rPr>
                <w:sz w:val="17"/>
                <w:szCs w:val="17"/>
                <w:color w:val="auto"/>
              </w:rPr>
            </w:pPr>
          </w:p>
        </w:tc>
        <w:tc>
          <w:tcPr>
            <w:tcW w:w="538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We have not authorized anyone to provide you with different information, and neither we nor the underwriters take any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This prospectus contains trademarks, service marks and trade names of other companies which are the property of their respective owners. We do not intend our use or display of such names or marks to imply relationships with, or endorsements of us by, any other company.</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9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w:t>
      </w:r>
    </w:p>
    <w:p>
      <w:pPr>
        <w:spacing w:after="0" w:line="131" w:lineRule="exact"/>
        <w:rPr>
          <w:sz w:val="20"/>
          <w:szCs w:val="20"/>
          <w:color w:val="auto"/>
        </w:rPr>
      </w:pPr>
    </w:p>
    <w:p>
      <w:pPr>
        <w:ind w:left="1240" w:right="4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memorandum and article of association” refers to the amended and restated memorandum and articles of association that the company will adopt prior to the consummation of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refers to Ares Management Corporation, a Delaware corporation, together with its subsidiaries;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funds” means funds, alternative asset companies, co-investment vehicles and other entities and accounts managed by Ares or its affiliates and certain portfolio companies in which Ares or such entities have invested;</w:t>
      </w:r>
    </w:p>
    <w:p>
      <w:pPr>
        <w:spacing w:after="0" w:line="67"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 or “AUM” refers to the assets the Ares funds manage. For our funds other than CLOs, AUM represents the sum of the net asset value (“NAV”) of such funds, the drawn and undrawn debt (at the fund-level including amounts subject to restrictions) and uncalled committed capital (including commitments to funds that have yet to commence their investment periods). NAV refers to the fair value of the assets of a fund less the liabilities of the fund. For the Ares funds that are CLOs, our AUM is equal to initial principal amounts adjusted for paydowns;</w:t>
      </w:r>
    </w:p>
    <w:p>
      <w:pPr>
        <w:spacing w:after="0" w:line="88"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refers to the board of directors of the company (including our director nominees who will become a director in connection with the consummation of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of par value $0.0001 per share in the share capital of the company;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of par value $0.0001 per share in the share capital of the company;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 refers to Ares funds that are structured as collateralized loan obligations;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 as the same may be amended from time to time;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refers to our current directors and director nominees;</w:t>
      </w:r>
    </w:p>
    <w:p>
      <w:pPr>
        <w:spacing w:after="0" w:line="130" w:lineRule="exact"/>
        <w:rPr>
          <w:rFonts w:ascii="Times New Roman" w:cs="Times New Roman" w:eastAsia="Times New Roman" w:hAnsi="Times New Roman"/>
          <w:sz w:val="18"/>
          <w:szCs w:val="18"/>
          <w:color w:val="auto"/>
        </w:rPr>
      </w:pPr>
    </w:p>
    <w:p>
      <w:pPr>
        <w:jc w:val="both"/>
        <w:ind w:left="1240" w:right="120" w:hanging="415"/>
        <w:spacing w:after="0" w:line="261"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refers to our Class B ordinary shares initially issued to our sponsor in a private placement prior to this offering and the Class A ordinary shares that will be issued upon the automatic conversion of the Class B ordinary shares at the time of our initial business combination or earlier at the option of the holders thereof (for the avoidance of doubt, such Class A ordinary shares will not be “public shares”);</w:t>
      </w:r>
    </w:p>
    <w:p>
      <w:pPr>
        <w:spacing w:after="0" w:line="85"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our Class B ordinary shares;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“overfunding loans” refers to the loan in the amount of $1,000,000 (and up to an additional $150,000 if the underwriters’ over-allotment option is exercised in full) our sponsor will make to us simultaneously with the closing of this offering;</w:t>
      </w:r>
    </w:p>
    <w:p>
      <w:pPr>
        <w:spacing w:after="0" w:line="67"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refers to the private placement to our sponsor of an aggregate of 7,000,000 private placement warrants (or up to 7,300,000 private placement warrants if the underwriters’ over-allotment option is exercised in full) at a price of $1.00 per private placement warrant, which will occur simultaneously with the completion of this offering;</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refers to the warrants to be issued to our sponsor in a private placement completed simultaneously with the closing of this offering and upon conversion of working capital loans, if any;</w:t>
      </w:r>
    </w:p>
    <w:p>
      <w:pPr>
        <w:spacing w:after="0" w:line="67"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refers to our Class A ordinary shares sold as part of the units in this offering (whether they are purchased in this offering or thereafter in the open market);</w:t>
      </w:r>
    </w:p>
    <w:p>
      <w:pPr>
        <w:spacing w:after="0" w:line="67" w:lineRule="exact"/>
        <w:rPr>
          <w:rFonts w:ascii="Times New Roman" w:cs="Times New Roman" w:eastAsia="Times New Roman" w:hAnsi="Times New Roman"/>
          <w:sz w:val="18"/>
          <w:szCs w:val="18"/>
          <w:color w:val="auto"/>
        </w:rPr>
      </w:pPr>
    </w:p>
    <w:p>
      <w:pPr>
        <w:jc w:val="both"/>
        <w:ind w:left="1240" w:right="180" w:hanging="415"/>
        <w:spacing w:after="0" w:line="312"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shareholders” refers to the holders of our public shares, including our sponsor and our directors and executive officers if and to the extent they purchase public shares, but their status as a “public shareholder” will only exist with respect to such public shares;</w:t>
      </w:r>
    </w:p>
    <w:p>
      <w:pPr>
        <w:spacing w:after="0" w:line="45"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refers to Citigroup Global Markets Inc., the representative of the underwriters in this offering;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refers to Ares Acquisition Holdings II LP, a Cayman Islands exempted limited partnership;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 refers to the underwriters of this offering, for which the representative is acting as representative; and</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“AAC II,” “our,” “company” or “our company” refers to Ares Acquisition Corporation II, a Cayman Islands exempted company.</w:t>
      </w:r>
    </w:p>
    <w:p>
      <w:pPr>
        <w:spacing w:after="0" w:line="162"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we tell you otherwise, the information in this prospectus assumes that the underwriters will not exercise their over-allotment option.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jc w:val="both"/>
        <w:ind w:left="300" w:right="400" w:firstLine="426"/>
        <w:spacing w:after="0" w:line="266"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intend to focus our search in North America, Europe or Asia. We will pursue an initial business combination with an established business with scale, attractive growth prospects and sustainable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competitive advantages. We believe there is a large universe of such businesses that could benefit from a public listing, and that we will be able to offer a differentiated and compelling value proposition to them.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$352 billion of assets under management and approximately 2,565 employees in over 30 global offices as of December 31, 2022. Ares operates integrated groups across Credit, Private Equity, Real Assets, Secondaries and Strategic Initiatives and offers its investors a range of investment strategies and seeks to deliver attractive performance to a growing investor base that includes approximately 1,940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89"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176" w:lineRule="exact"/>
        <w:rPr>
          <w:sz w:val="20"/>
          <w:szCs w:val="20"/>
          <w:color w:val="auto"/>
        </w:rPr>
      </w:pPr>
    </w:p>
    <w:p>
      <w:pPr>
        <w:ind w:left="300" w:right="240" w:firstLine="426"/>
        <w:spacing w:after="0" w:line="255" w:lineRule="auto"/>
        <w:rPr>
          <w:sz w:val="20"/>
          <w:szCs w:val="20"/>
          <w:color w:val="auto"/>
        </w:rPr>
      </w:pPr>
      <w:r>
        <w:rPr>
          <w:rFonts w:ascii="Times New Roman" w:cs="Times New Roman" w:eastAsia="Times New Roman" w:hAnsi="Times New Roman"/>
          <w:sz w:val="18"/>
          <w:szCs w:val="18"/>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Ares Acquisition Corporation (“AAC”), that completed its initial public offering on February 4, 2021 and announced on December 6, 2022, an initial business combination with X-energy, a leading developer of advanced small modular nuclear reactors and fuel technology for clean energy generation.</w:t>
      </w:r>
    </w:p>
    <w:p>
      <w:pPr>
        <w:spacing w:after="0" w:line="189"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December 31, 2022 had $34.7 billion of AUM. The Private Equity Group broadly categorizes its investment activities into four strategies: Corporate Private Equity and Special Opportunities. Ares Private Equity Group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Ares Corporate Private Equity strategy team is organized into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75 investment professionals on a global basis. In Ares Corporate Private Equity</w:t>
      </w:r>
    </w:p>
    <w:p>
      <w:pPr>
        <w:spacing w:after="0" w:line="3" w:lineRule="exact"/>
        <w:rPr>
          <w:sz w:val="20"/>
          <w:szCs w:val="20"/>
          <w:color w:val="auto"/>
        </w:rPr>
      </w:pPr>
    </w:p>
    <w:p>
      <w:pPr>
        <w:ind w:left="300" w:right="620"/>
        <w:spacing w:after="0" w:line="260" w:lineRule="auto"/>
        <w:rPr>
          <w:sz w:val="20"/>
          <w:szCs w:val="20"/>
          <w:color w:val="auto"/>
        </w:rPr>
      </w:pPr>
      <w:r>
        <w:rPr>
          <w:rFonts w:ascii="Times New Roman" w:cs="Times New Roman" w:eastAsia="Times New Roman" w:hAnsi="Times New Roman"/>
          <w:sz w:val="18"/>
          <w:szCs w:val="18"/>
          <w:color w:val="auto"/>
        </w:rPr>
        <w:t>strategy, Ares pursues four principal transaction types: prudently leveraged control buyouts, growth equity, rescue/deleveraging capital and distressed buyouts/discounted debt accumulation.</w:t>
      </w:r>
    </w:p>
    <w:p>
      <w:pPr>
        <w:spacing w:after="0" w:line="18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$214.2 billion of AUM as of December 31, 2022.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across the U.S. and European markets. Additionally, it provides investors access to directly originated fixed and floating rate credit assets and with the ability to capitalize on illiquidity premiums across the credit spectrum.</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Within the Ares Credit Group, Ares’ Direct Lending strategy is one of the largest self-originating direct lenders to the U.S. and European markets, with $148.9 billion of AUM as of December 31, 2022.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260 investment professionals as of December 31, 2022. The team covers more than 635 financial sponsors in the U.S. and more than 395 in Europe, and provides a wide range of financing solutions to middle-market companies that typically range from $10 million to $250 million in earnings before interest, tax, depreciation and amortization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88"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 However, an investment in this offering or our Company is not an investment in Ares or an Ares fund.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300" w:right="580" w:firstLine="426"/>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David B. Kaplan serves as Chief Executive Officer and is a Co-Chairman of the board of directors of AAC II. Mr. Kaplan is a Co-Founder of Ares, a Director and Partner of Ares Management Corporation and Chief Executive Officer and Co-Chairman of AAC. He is a member of the Ares Executive Management Committee and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Chairman of the supervisory board of directors of the parent entity of Mytheresa and as a member of the boards of directors of the parent entities of 99 Cents Only Stores LLC, Cooper’s Hawk Winery &amp; Restaurants and Guitar Center Holdings, Inc.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on the President’s Advisory Group of the University of Michigan. Mr. Kaplan graduated with High Distinction, Beta Gamma Sigma, from the University of Michigan, School of Business Administration with a B.B.A. concentrating in Finance.</w:t>
      </w:r>
    </w:p>
    <w:p>
      <w:pPr>
        <w:spacing w:after="0" w:line="19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Michael J Arougheti serves as Co-Chairman of the board of directors of AAC II. Mr. Arougheti is a Co-Founder of Ares and the Chief Executive Officer and President, as well as a Director of Ares Management Corporation and Co-Chairman of AAC. He is a member of the Ares Executive Management Committee. He additionally serves as Co-Chairman of Ares Capital Corporation (“ARCC”) and as a director of Ares Commercial Real Estate Corporation (“ACRE”). Mr. Arougheti also is a member of the Ares Credit Group’s U.S. Direct</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61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8" w:lineRule="auto"/>
        <w:rPr>
          <w:sz w:val="20"/>
          <w:szCs w:val="20"/>
          <w:color w:val="auto"/>
        </w:rPr>
      </w:pPr>
      <w:r>
        <w:rPr>
          <w:rFonts w:ascii="Times New Roman" w:cs="Times New Roman" w:eastAsia="Times New Roman" w:hAnsi="Times New Roman"/>
          <w:sz w:val="17"/>
          <w:szCs w:val="17"/>
          <w:color w:val="auto"/>
        </w:rPr>
        <w:t>Lending and Pathfinder Fund Investment Committee, the Ares Equity Income Opportunity Strategy Portfolio Review Committee and the Ares Operations Management Group. Prior to joining Ares in 2004, Mr. Arougheti was employed by Royal Bank of Canada (“RBC”) from 2001 to 2004, where he was a Managing Partner of the Principal Finance Group of RBC Capital Partners and a member of the firm’s Mezzanine Investment Committee. 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RBC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w:t>
      </w: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Mr. Arougheti also serves on the board of directors of Operation HOPE, a not-for-profit organization focused on expanding economic opportunity in underserved communities through education and empowerment. Additionally, he is a member of the PATH Organization Leadership Council. Mr. Arougheti received a B.A. in Ethics, Politics and Economics, cum laude, from Yale University.</w:t>
      </w:r>
    </w:p>
    <w:p>
      <w:pPr>
        <w:spacing w:after="0" w:line="186"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w:t>
      </w:r>
      <w:r>
        <w:rPr>
          <w:rFonts w:ascii="Times New Roman" w:cs="Times New Roman" w:eastAsia="Times New Roman" w:hAnsi="Times New Roman"/>
          <w:sz w:val="18"/>
          <w:szCs w:val="18"/>
          <w:i w:val="1"/>
          <w:iCs w:val="1"/>
          <w:color w:val="auto"/>
        </w:rPr>
        <w:t>Risk Factors—Past performance by Ares or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affiliates, 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w:t>
      </w:r>
      <w:r>
        <w:rPr>
          <w:rFonts w:ascii="Times New Roman" w:cs="Times New Roman" w:eastAsia="Times New Roman" w:hAnsi="Times New Roman"/>
          <w:sz w:val="18"/>
          <w:szCs w:val="18"/>
          <w:color w:val="auto"/>
        </w:rPr>
        <w:t>For a list of our executive officers and entities for which a conflict of interest between such officers and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does exist, please refer to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AAC completed its initial public offering in February 2021, in which it sold 87,000,000 units each consisting of one Class A ordinary share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one-fifth of one warrant, with each whole warrant entitling the holder thereof to purchase one Class A ordinary share for an offering price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$10.00 per unit. AAC consummated the sale of an additional 13,000,000 Class A ordinary shares units pursuant to the underwriters’ partial exercise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their over-allotment option at a price of $10.00 per unit, generating total gross proceeds of approximately $1 billion. On December 6, 2022,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AAC announced it had entered into a definitive business combination agreement with X-energy, a leading developer of advanced small modular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nuclear reactors and fuel technology for clean energy generation. Mr. Kaplan serves as Chief Executive Officer, Mr. Phillips serves as Chief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Financial Officer, Ms. Satin serves as Chief Operating Officer and Mr. Ogilvie serves as Executive Vice President of Strategy of AAC. Mr. Kaplan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Mr. Arougheti serve as Co-Chairmen of AAC’s board of directors. We believe that we will benefit from the valuable experience gained by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team during the launch and operation of AAC, including the process of evaluating numerous target companies and industry sectors.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85" w:lineRule="exact"/>
        <w:rPr>
          <w:sz w:val="20"/>
          <w:szCs w:val="20"/>
          <w:color w:val="auto"/>
        </w:rPr>
      </w:pPr>
    </w:p>
    <w:p>
      <w:pPr>
        <w:ind w:left="1240" w:right="80" w:hanging="415"/>
        <w:spacing w:after="0" w:line="28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$352 billion of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900 investment</w:t>
      </w:r>
    </w:p>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spacing w:after="0" w:line="255" w:lineRule="auto"/>
        <w:rPr>
          <w:sz w:val="20"/>
          <w:szCs w:val="20"/>
          <w:color w:val="auto"/>
        </w:rPr>
      </w:pPr>
      <w:r>
        <w:rPr>
          <w:rFonts w:ascii="Times New Roman" w:cs="Times New Roman" w:eastAsia="Times New Roman" w:hAnsi="Times New Roman"/>
          <w:sz w:val="18"/>
          <w:szCs w:val="18"/>
          <w:color w:val="auto"/>
        </w:rPr>
        <w:t>professionals across more than 30 offices as of December 31, 2022. This has the potential to create meaningful advantages to source attractive transactions across various investment strategies. Ares promotes collaboration amongst its investment professionals to share ideas and information across the groups, which further enables it to effectively source, evaluate and manage investments. Ares believes 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90" w:lineRule="exact"/>
        <w:rPr>
          <w:sz w:val="20"/>
          <w:szCs w:val="20"/>
          <w:color w:val="auto"/>
        </w:rPr>
      </w:pPr>
    </w:p>
    <w:p>
      <w:pPr>
        <w:ind w:left="1240" w:right="40" w:hanging="415"/>
        <w:spacing w:after="0" w:line="255"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cross-source for other investment groups generates a robust pipeline of high-quality investment opportunities across its platform. Ares has active investments in ~2,880 portfolio companies and approximately 1,940 direct institutional relationships. Additionally, Ares’ relationship network includes more than 635 financial sponsors in the U.S. and more than 395 in Europe with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 differentiates its origination capabilities. AAC II is expected to benefit from Ares’ broad market presence, which has the potential to drive deal flow and allow for asset selectivity.</w:t>
      </w:r>
    </w:p>
    <w:p>
      <w:pPr>
        <w:spacing w:after="0" w:line="90" w:lineRule="exact"/>
        <w:rPr>
          <w:rFonts w:ascii="Times New Roman" w:cs="Times New Roman" w:eastAsia="Times New Roman" w:hAnsi="Times New Roman"/>
          <w:sz w:val="18"/>
          <w:szCs w:val="18"/>
          <w:color w:val="auto"/>
        </w:rPr>
      </w:pPr>
    </w:p>
    <w:p>
      <w:pPr>
        <w:ind w:left="1240" w:right="120" w:hanging="415"/>
        <w:spacing w:after="0" w:line="256"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nearly 60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w:t>
      </w:r>
    </w:p>
    <w:p>
      <w:pPr>
        <w:spacing w:after="0" w:line="88" w:lineRule="exact"/>
        <w:rPr>
          <w:rFonts w:ascii="Times New Roman" w:cs="Times New Roman" w:eastAsia="Times New Roman" w:hAnsi="Times New Roman"/>
          <w:sz w:val="18"/>
          <w:szCs w:val="18"/>
          <w:color w:val="auto"/>
        </w:rPr>
      </w:pPr>
    </w:p>
    <w:p>
      <w:pPr>
        <w:ind w:left="1240" w:right="60" w:hanging="415"/>
        <w:spacing w:after="0" w:line="255"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NYSE and certain of its subsidiaries act as the external manager for three publicly-traded investment vehicles. Furthermore, Ares’ publicly traded entities and their affiliates, including ARCC, ACRE, AAC and Ares Dynamic Credit Allocation Fund, Inc. (“ARDC”), account for approximately $30.5 billion of AUM as of December 31, 2022 and have a long track record as fiduciaries of capital for over 1,000 institutional investors and over 400,000 retail investor accounts. We believe Ares’ prior experience, combined with its robust public investor relations capabilities, will benefit AAC II following a business combination.</w:t>
      </w:r>
    </w:p>
    <w:p>
      <w:pPr>
        <w:spacing w:after="0" w:line="90"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is positioned to prepare and support a target’s successful operation in the public markets. Additionally, Ares has a dedicated team focused on environmental, social and governance (“ESG”) factors that can further enhance AAC II’s impact for various stakeholders.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415"/>
        <w:spacing w:after="0" w:line="26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approximately 1,940 institutional investor relationships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more than 400 funds as of December 31, 2022. Ares’ high-quality institutional investor base includes large pension funds, sovereign wealth funds, banks and insurance companies. Additionally, Ares has very strong relationships with many leading commercial and investment banks globally and a track record of successfully accessing the capital markets.</w:t>
      </w:r>
    </w:p>
    <w:p>
      <w:pPr>
        <w:spacing w:after="0" w:line="180"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Ares funds and AAC is not a guarantee either (i) that we will be able to identify a suitable candidate for our initial business combination or (ii) of success with respect to any business combination we may consummate. You should not rely on the historical record of Ares’s, Ares funds’, AAC’s or our management’s performance as indicative of our future performance. An investment in us is not an investment in the Ares funds.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w:t>
      </w:r>
    </w:p>
    <w:p>
      <w:pPr>
        <w:spacing w:after="0" w:line="225"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believe we will benefit from the same approach as we pursue our initial business combination.</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80" w:lineRule="exact"/>
        <w:rPr>
          <w:sz w:val="20"/>
          <w:szCs w:val="20"/>
          <w:color w:val="auto"/>
        </w:rPr>
      </w:pPr>
    </w:p>
    <w:p>
      <w:pPr>
        <w:ind w:left="300" w:right="140" w:firstLine="426"/>
        <w:spacing w:after="0" w:line="281" w:lineRule="auto"/>
        <w:rPr>
          <w:sz w:val="20"/>
          <w:szCs w:val="20"/>
          <w:color w:val="auto"/>
        </w:rPr>
      </w:pPr>
      <w:r>
        <w:rPr>
          <w:rFonts w:ascii="Times New Roman" w:cs="Times New Roman" w:eastAsia="Times New Roman" w:hAnsi="Times New Roman"/>
          <w:sz w:val="17"/>
          <w:szCs w:val="17"/>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an independent entity that commonly renders valuation opinions with respect to the satisfaction of such criteria.</w:t>
      </w:r>
    </w:p>
    <w:p>
      <w:pPr>
        <w:spacing w:after="0" w:line="164"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 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 if AAC does not consummate its announced business combination.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following this offering. We intend to utilize cash derived from the proceeds of this offering, the private placement and the overfunding loans, as well as our equity, debt or a combination of these, in effecting a business combination.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and significant expense. In the alternative, we may seek to consummate a business combination with a company that may be financially unstable or in its early stages of development or growth.</w:t>
      </w:r>
    </w:p>
    <w:p>
      <w:pPr>
        <w:spacing w:after="0" w:line="192"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If we decide to allow shareholders to sell their shares to us in a tender offer, we will file tender offer documents with the SEC, which will contain substantially the same financial and other information about the initial business combination as is required under the SEC’s proxy rules. If we seek shareholder approval of our initial business combination, we will consummate our initial business combination only if approved as an</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ordinary resolution under Cayman Islands law, which requires the affirmative vote of a majority of the shares held by shareholders who attend and vote at a general meeting of the company to approve the business combination.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w:t>
      </w:r>
    </w:p>
    <w:p>
      <w:pPr>
        <w:spacing w:after="0" w:line="1" w:lineRule="exact"/>
        <w:rPr>
          <w:sz w:val="20"/>
          <w:szCs w:val="20"/>
          <w:color w:val="auto"/>
        </w:rPr>
      </w:pPr>
    </w:p>
    <w:p>
      <w:pPr>
        <w:ind w:left="300"/>
        <w:spacing w:after="0"/>
        <w:tabs>
          <w:tab w:leader="none" w:pos="8680" w:val="left"/>
          <w:tab w:leader="none" w:pos="9780" w:val="left"/>
        </w:tabs>
        <w:rPr>
          <w:sz w:val="20"/>
          <w:szCs w:val="20"/>
          <w:color w:val="auto"/>
        </w:rPr>
      </w:pPr>
      <w:r>
        <w:rPr>
          <w:rFonts w:ascii="Times New Roman" w:cs="Times New Roman" w:eastAsia="Times New Roman" w:hAnsi="Times New Roman"/>
          <w:sz w:val="18"/>
          <w:szCs w:val="18"/>
          <w:color w:val="auto"/>
        </w:rPr>
        <w:t>time, up to an aggregate of 24 months, by depositing into the trust account for 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8"/>
          <w:szCs w:val="18"/>
          <w:color w:val="auto"/>
        </w:rPr>
        <w:t>if the</w:t>
      </w:r>
    </w:p>
    <w:p>
      <w:pPr>
        <w:spacing w:after="0" w:line="9" w:lineRule="exact"/>
        <w:rPr>
          <w:sz w:val="20"/>
          <w:szCs w:val="20"/>
          <w:color w:val="auto"/>
        </w:rPr>
      </w:pPr>
    </w:p>
    <w:p>
      <w:pPr>
        <w:ind w:left="300" w:right="180"/>
        <w:spacing w:after="0" w:line="260" w:lineRule="auto"/>
        <w:rPr>
          <w:sz w:val="20"/>
          <w:szCs w:val="20"/>
          <w:color w:val="auto"/>
        </w:rPr>
      </w:pPr>
      <w:r>
        <w:rPr>
          <w:rFonts w:ascii="Times New Roman" w:cs="Times New Roman" w:eastAsia="Times New Roman" w:hAnsi="Times New Roman"/>
          <w:sz w:val="18"/>
          <w:szCs w:val="18"/>
          <w:color w:val="auto"/>
        </w:rPr>
        <w:t>underwriters’ over-allotment option is exercised in full ($0. per public share in either case). In this case, shareholders will not be offered an opportunity to vote on an extension and holders of Class A ordinary shares will not be offered an opportunity to redeem their shares.</w:t>
      </w:r>
    </w:p>
    <w:p>
      <w:pPr>
        <w:spacing w:after="0" w:line="18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 sponsor, or an affiliate or designee thereof, will contribute to us (the sponsor, affiliate or designee making the contribution being referred to herein as a “</w:t>
      </w:r>
      <w:r>
        <w:rPr>
          <w:rFonts w:ascii="Times New Roman" w:cs="Times New Roman" w:eastAsia="Times New Roman" w:hAnsi="Times New Roman"/>
          <w:sz w:val="18"/>
          <w:szCs w:val="18"/>
          <w:i w:val="1"/>
          <w:iCs w:val="1"/>
          <w:color w:val="auto"/>
        </w:rPr>
        <w:t>Contributor</w:t>
      </w:r>
      <w:r>
        <w:rPr>
          <w:rFonts w:ascii="Times New Roman" w:cs="Times New Roman" w:eastAsia="Times New Roman" w:hAnsi="Times New Roman"/>
          <w:sz w:val="18"/>
          <w:szCs w:val="18"/>
          <w:color w:val="auto"/>
        </w:rPr>
        <w:t>” and each contribution being referred to herein as a “Contribution”), as a loan upon five days’ advance notice prior the end of each applicable deadline, the deposit for each two-month period. In the event the company intends to effect an extension, we will issue a press release 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within the applicable time period, we will redeem 100% of our issued and outstanding public shares for a pro rata portion of the funds held in the trust account, including interest earned thereon (less taxes payable and up to $100,000 of interest to pay dissolution expenses), divided by the number of then outstanding public shares, subject to applicable law. Assuming we do not deposit additional funds into the trust account to extend the time period in which we are required to consummate our initial business combination, we expect the pro rata redemption price to be approximately $10.10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189"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NYSE rules require that our initial business combination must occur with one or more target businesses that together have an aggregate fair market value of at least 80% of the net assets held in the trust account (excluding the amount of deferred underwriting discounts held in the trust account and taxes payable on the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54" w:lineRule="auto"/>
        <w:rPr>
          <w:sz w:val="20"/>
          <w:szCs w:val="20"/>
          <w:color w:val="auto"/>
        </w:rPr>
      </w:pPr>
      <w:r>
        <w:rPr>
          <w:rFonts w:ascii="Times New Roman" w:cs="Times New Roman" w:eastAsia="Times New Roman" w:hAnsi="Times New Roman"/>
          <w:sz w:val="18"/>
          <w:szCs w:val="18"/>
          <w:color w:val="auto"/>
        </w:rPr>
        <w:t>income earned on the trust account) at the time of signing the agreement to enter into the initial business combination. Our board of directors will make the determination as to the fair market value of our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entity that commonly renders valuation opinions with respect to the satisfaction of such criteria.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92"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Any such issuances of equity securities could dilute the interests of our existing shareholders. The amount and other terms and conditions of any such joint acquisition or specified future issuance would be determined at the time thereof.</w:t>
      </w:r>
    </w:p>
    <w:p>
      <w:pPr>
        <w:spacing w:after="0" w:line="187"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or acquire shares will own or acquire 100% of the outstanding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outstanding equity interests or assets of a target business or businesses are owned or acquired by the post-business combination company, the 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93"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which we may desire to pursue. However, we have not selected any business combination target and we have not, nor has anyone on our behalf, initiated any substantive discussions, directly or indirectly, with any business combination target.</w:t>
      </w:r>
    </w:p>
    <w:p>
      <w:pPr>
        <w:spacing w:after="0" w:line="162" w:lineRule="exact"/>
        <w:rPr>
          <w:sz w:val="20"/>
          <w:szCs w:val="20"/>
          <w:color w:val="auto"/>
        </w:rPr>
      </w:pPr>
    </w:p>
    <w:p>
      <w:pPr>
        <w:ind w:left="300" w:right="100" w:firstLine="426"/>
        <w:spacing w:after="0" w:line="269" w:lineRule="auto"/>
        <w:rPr>
          <w:sz w:val="20"/>
          <w:szCs w:val="20"/>
          <w:color w:val="auto"/>
        </w:rPr>
      </w:pPr>
      <w:r>
        <w:rPr>
          <w:rFonts w:ascii="Times New Roman" w:cs="Times New Roman" w:eastAsia="Times New Roman" w:hAnsi="Times New Roman"/>
          <w:sz w:val="17"/>
          <w:szCs w:val="17"/>
          <w:color w:val="auto"/>
        </w:rPr>
        <w:t>Our sponsor, executive officers and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The low price that our sponsor, executive officers and directors (directly or indirectly) paid for the founder shares creates an incentive whereby our officers and directors could potentially make a substantial profit even if the company selects an acquisition target that subsequently declines in value and is unprofitable for public shareholders. In the event we do not consummate a business combination within 20 months, or such earlier date as our board of directors may approve, from the closing of this offering (or up to 24 months from the closing of this offering if we extend the period of time to consummate a business combination), the founder shares and private placement warrants may expire worthless which could create an incentive for our sponsor, executive officers and directors to complete a transaction even if the company selects an acquisition target that subsequently declines in value and is unprofitable for public shareholders.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2" w:lineRule="exact"/>
        <w:rPr>
          <w:sz w:val="20"/>
          <w:szCs w:val="20"/>
          <w:color w:val="auto"/>
        </w:rPr>
      </w:pPr>
    </w:p>
    <w:p>
      <w:pPr>
        <w:jc w:val="both"/>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the Ares funds or their current or former portfolio companies and AAC. Certain of these entities may have overlapping investment objectives and potential conflicts may arise with respect to Ares’ decision regarding how to allocate investment opportunities among these entities. If any of our directors and executive officers becomes aware of a business combination opportunity that is suitable for a fund or entity to which he or she has then-current fiduciary or contractual obligations, then, subject to their fiduciary duties under Cayman Islands law, he or she will need to honor such fiduciary or contractual obligations to present such business combination opportunity to such fund or entity, before we can pursue such opportunity. If Ares, the Ares funds, AAC (if AAC does not consummate its announced business combination)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AAC and, subject to applicable fiduciary duties or contractual obligations, will first be directed to Ares, such fund, investment vehicle or portfolio company or AAC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w:t>
      </w:r>
    </w:p>
    <w:p>
      <w:pPr>
        <w:spacing w:after="0" w:line="1" w:lineRule="exact"/>
        <w:rPr>
          <w:sz w:val="20"/>
          <w:szCs w:val="20"/>
          <w:color w:val="auto"/>
        </w:rPr>
      </w:pPr>
    </w:p>
    <w:p>
      <w:pPr>
        <w:ind w:left="300" w:right="140" w:hanging="2"/>
        <w:spacing w:after="0" w:line="253" w:lineRule="auto"/>
        <w:tabs>
          <w:tab w:leader="none" w:pos="5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Accordingly, none of Ares or our directors or officers will have obligations to present a business combination opportunity to us.</w:t>
      </w:r>
    </w:p>
    <w:p>
      <w:pPr>
        <w:spacing w:after="0" w:line="187"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currently sponsor and may sponsor, form or participate in other blank check companies similar to ours during the period in which we are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seeking an initial business combination. Any such companies may present additional conflicts of interest in</w:t>
      </w:r>
    </w:p>
    <w:p>
      <w:pPr>
        <w:spacing w:after="0" w:line="27" w:lineRule="exact"/>
        <w:rPr>
          <w:sz w:val="20"/>
          <w:szCs w:val="20"/>
          <w:color w:val="auto"/>
        </w:rPr>
      </w:pPr>
    </w:p>
    <w:p>
      <w:pPr>
        <w:ind w:left="300" w:right="60"/>
        <w:spacing w:after="0" w:line="251" w:lineRule="auto"/>
        <w:rPr>
          <w:sz w:val="20"/>
          <w:szCs w:val="20"/>
          <w:color w:val="auto"/>
        </w:rPr>
      </w:pPr>
      <w:r>
        <w:rPr>
          <w:rFonts w:ascii="Times New Roman" w:cs="Times New Roman" w:eastAsia="Times New Roman" w:hAnsi="Times New Roman"/>
          <w:sz w:val="18"/>
          <w:szCs w:val="18"/>
          <w:color w:val="auto"/>
        </w:rPr>
        <w:t>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 2021. AAC, like us, may pursue initial business combination targets in any businesses or industries and has until August 2023 to do so. Any such blank check company, including AAC if its announced business combination is not completed,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9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Our executive offices are located at 245 Park Avenue, 44th Floor, New York, New York 10167, and our telephone number is (212) 750-7300.</w:t>
      </w:r>
    </w:p>
    <w:p>
      <w:pPr>
        <w:spacing w:after="0" w:line="237"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8"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292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jc w:val="both"/>
        <w:ind w:left="300" w:right="180" w:firstLine="426"/>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completion of this offering, (b) in which we have total annual gross revenue of at least $1.235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securities during the prior three-year period.</w:t>
      </w:r>
    </w:p>
    <w:p>
      <w:pPr>
        <w:spacing w:after="0" w:line="164"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Class A ordinary shares held by non-affiliates equals or exceeds $250 million as of the end of the prior June 30, or (2) our annual revenues equaled or exceeded $100 million during such completed fiscal year and the market value of our Class A ordinary shares held by non-affiliates exceeds $700 million as of the prior June 30.</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0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In deciding whether to invest in our securities, you should take into account not only the backgrounds of our directors and executive officers,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7"/>
          <w:szCs w:val="17"/>
          <w:color w:val="auto"/>
        </w:rPr>
        <w:t>10,000,000 units (or 11,500,000 units if the underwriters’ over-allotment option is</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exercised in full), at $10.00 per unit, each unit consisting of:</w:t>
      </w:r>
    </w:p>
    <w:p>
      <w:pPr>
        <w:spacing w:after="0" w:line="1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one Class A ordinary share; and</w:t>
      </w:r>
    </w:p>
    <w:p>
      <w:pPr>
        <w:spacing w:after="0" w:line="1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  one-half of one redeemable warrant.</w:t>
      </w:r>
    </w:p>
    <w:p>
      <w:pPr>
        <w:spacing w:after="0" w:line="252" w:lineRule="exact"/>
        <w:rPr>
          <w:sz w:val="20"/>
          <w:szCs w:val="20"/>
          <w:color w:val="auto"/>
        </w:rPr>
      </w:pPr>
    </w:p>
    <w:p>
      <w:pPr>
        <w:ind w:left="300"/>
        <w:spacing w:after="0"/>
        <w:tabs>
          <w:tab w:leader="none" w:pos="4320" w:val="left"/>
          <w:tab w:leader="none" w:pos="5600" w:val="left"/>
        </w:tabs>
        <w:rPr>
          <w:sz w:val="20"/>
          <w:szCs w:val="20"/>
          <w:color w:val="auto"/>
        </w:rPr>
      </w:pPr>
      <w:r>
        <w:rPr>
          <w:rFonts w:ascii="Times New Roman" w:cs="Times New Roman" w:eastAsia="Times New Roman" w:hAnsi="Times New Roman"/>
          <w:sz w:val="18"/>
          <w:szCs w:val="18"/>
          <w:color w:val="auto"/>
        </w:rPr>
        <w:t>Proposed NYSE symbols</w:t>
      </w:r>
      <w:r>
        <w:rPr>
          <w:sz w:val="20"/>
          <w:szCs w:val="20"/>
          <w:color w:val="auto"/>
        </w:rPr>
        <w:tab/>
      </w:r>
      <w:r>
        <w:rPr>
          <w:rFonts w:ascii="Times New Roman" w:cs="Times New Roman" w:eastAsia="Times New Roman" w:hAnsi="Times New Roman"/>
          <w:sz w:val="18"/>
          <w:szCs w:val="18"/>
          <w:color w:val="auto"/>
        </w:rPr>
        <w:t>Units: “</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340"/>
        <w:spacing w:after="0"/>
        <w:tabs>
          <w:tab w:leader="none" w:pos="6920" w:val="left"/>
        </w:tabs>
        <w:rPr>
          <w:sz w:val="20"/>
          <w:szCs w:val="20"/>
          <w:color w:val="auto"/>
        </w:rPr>
      </w:pPr>
      <w:r>
        <w:rPr>
          <w:rFonts w:ascii="Times New Roman" w:cs="Times New Roman" w:eastAsia="Times New Roman" w:hAnsi="Times New Roman"/>
          <w:sz w:val="18"/>
          <w:szCs w:val="18"/>
          <w:color w:val="auto"/>
        </w:rPr>
        <w:t>Class A ordinary shares: “</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340"/>
        <w:spacing w:after="0"/>
        <w:tabs>
          <w:tab w:leader="none" w:pos="5860" w:val="left"/>
        </w:tabs>
        <w:rPr>
          <w:sz w:val="20"/>
          <w:szCs w:val="20"/>
          <w:color w:val="auto"/>
        </w:rPr>
      </w:pPr>
      <w:r>
        <w:rPr>
          <w:rFonts w:ascii="Times New Roman" w:cs="Times New Roman" w:eastAsia="Times New Roman" w:hAnsi="Times New Roman"/>
          <w:sz w:val="18"/>
          <w:szCs w:val="18"/>
          <w:color w:val="auto"/>
        </w:rPr>
        <w:t>Warrants: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0940"/>
          </w:cols>
          <w:pgMar w:left="320" w:top="455" w:right="639" w:bottom="1440" w:gutter="0" w:footer="0" w:header="0"/>
        </w:sectPr>
      </w:pPr>
    </w:p>
    <w:p>
      <w:pPr>
        <w:spacing w:after="0" w:line="252" w:lineRule="exact"/>
        <w:rPr>
          <w:sz w:val="20"/>
          <w:szCs w:val="20"/>
          <w:color w:val="auto"/>
        </w:rPr>
      </w:pPr>
    </w:p>
    <w:p>
      <w:pPr>
        <w:ind w:left="380" w:right="120" w:hanging="78"/>
        <w:spacing w:after="0" w:line="282" w:lineRule="auto"/>
        <w:rPr>
          <w:sz w:val="20"/>
          <w:szCs w:val="20"/>
          <w:color w:val="auto"/>
        </w:rPr>
      </w:pPr>
      <w:r>
        <w:rPr>
          <w:rFonts w:ascii="Times New Roman" w:cs="Times New Roman" w:eastAsia="Times New Roman" w:hAnsi="Times New Roman"/>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380" w:hanging="78"/>
        <w:spacing w:after="0" w:line="266" w:lineRule="auto"/>
        <w:rPr>
          <w:sz w:val="20"/>
          <w:szCs w:val="20"/>
          <w:color w:val="auto"/>
        </w:rPr>
      </w:pPr>
      <w:r>
        <w:rPr>
          <w:rFonts w:ascii="Times New Roman" w:cs="Times New Roman" w:eastAsia="Times New Roman" w:hAnsi="Times New Roman"/>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2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that includes an audited balance sheet reflecting our receipt of the gross proceeds at the closing of this offering. We will file the</w:t>
      </w:r>
    </w:p>
    <w:p>
      <w:pPr>
        <w:spacing w:after="0" w:line="200" w:lineRule="exact"/>
        <w:rPr>
          <w:sz w:val="20"/>
          <w:szCs w:val="20"/>
          <w:color w:val="auto"/>
        </w:rPr>
      </w:pPr>
    </w:p>
    <w:p>
      <w:pPr>
        <w:sectPr>
          <w:pgSz w:w="11900" w:h="16838" w:orient="portrait"/>
          <w:cols w:equalWidth="0" w:num="2">
            <w:col w:w="4060" w:space="280"/>
            <w:col w:w="6600"/>
          </w:cols>
          <w:pgMar w:left="320" w:top="455" w:right="639" w:bottom="1440" w:gutter="0" w:footer="0" w:header="0"/>
          <w:type w:val="continuous"/>
        </w:sectPr>
      </w:pPr>
    </w:p>
    <w:p>
      <w:pPr>
        <w:spacing w:after="0" w:line="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90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9907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Current Report on Form 8-K promptly after the closing of this offering. If the underwriters’</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over-allotment option is exercised following the initial filing of such Current Report on</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8-K, a second or amended Current Report on Form 8-K will be filed to provide</w:t>
            </w:r>
          </w:p>
        </w:tc>
      </w:tr>
      <w:tr>
        <w:trPr>
          <w:trHeight w:val="216"/>
        </w:trPr>
        <w:tc>
          <w:tcPr>
            <w:tcW w:w="3940" w:type="dxa"/>
            <w:vAlign w:val="bottom"/>
          </w:tcPr>
          <w:p>
            <w:pPr>
              <w:spacing w:after="0"/>
              <w:rPr>
                <w:sz w:val="18"/>
                <w:szCs w:val="18"/>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updated financial information to reflect the exercise of the underwriters’ over-allotment</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w:t>
            </w:r>
          </w:p>
        </w:tc>
      </w:tr>
      <w:tr>
        <w:trPr>
          <w:trHeight w:val="6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6680" w:type="dxa"/>
            <w:vAlign w:val="bottom"/>
          </w:tcPr>
          <w:p>
            <w:pPr>
              <w:spacing w:after="0"/>
              <w:rPr>
                <w:sz w:val="24"/>
                <w:szCs w:val="24"/>
                <w:color w:val="auto"/>
              </w:rPr>
            </w:pPr>
          </w:p>
        </w:tc>
      </w:tr>
      <w:tr>
        <w:trPr>
          <w:trHeight w:val="67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59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10,000,000</w:t>
            </w:r>
            <w:r>
              <w:rPr>
                <w:rFonts w:ascii="Times New Roman" w:cs="Times New Roman" w:eastAsia="Times New Roman" w:hAnsi="Times New Roman"/>
                <w:sz w:val="26"/>
                <w:szCs w:val="26"/>
                <w:color w:val="auto"/>
                <w:vertAlign w:val="superscript"/>
              </w:rPr>
              <w:t>(1)</w:t>
            </w:r>
          </w:p>
        </w:tc>
      </w:tr>
      <w:tr>
        <w:trPr>
          <w:trHeight w:val="53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6680" w:type="dxa"/>
            <w:vAlign w:val="bottom"/>
          </w:tcPr>
          <w:p>
            <w:pPr>
              <w:spacing w:after="0"/>
              <w:rPr>
                <w:sz w:val="24"/>
                <w:szCs w:val="24"/>
                <w:color w:val="auto"/>
              </w:rPr>
            </w:pPr>
          </w:p>
        </w:tc>
      </w:tr>
      <w:tr>
        <w:trPr>
          <w:trHeight w:val="80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2,875,000</w:t>
            </w:r>
            <w:r>
              <w:rPr>
                <w:rFonts w:ascii="Times New Roman" w:cs="Times New Roman" w:eastAsia="Times New Roman" w:hAnsi="Times New Roman"/>
                <w:sz w:val="26"/>
                <w:szCs w:val="26"/>
                <w:color w:val="auto"/>
                <w:vertAlign w:val="superscript"/>
              </w:rPr>
              <w:t>(2)(3)</w:t>
            </w:r>
          </w:p>
        </w:tc>
      </w:tr>
      <w:tr>
        <w:trPr>
          <w:trHeight w:val="47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12,500,000</w:t>
            </w:r>
            <w:r>
              <w:rPr>
                <w:rFonts w:ascii="Times New Roman" w:cs="Times New Roman" w:eastAsia="Times New Roman" w:hAnsi="Times New Roman"/>
                <w:sz w:val="26"/>
                <w:szCs w:val="26"/>
                <w:color w:val="auto"/>
                <w:vertAlign w:val="superscript"/>
              </w:rPr>
              <w:t>(1)(2)(4)</w:t>
            </w:r>
          </w:p>
        </w:tc>
      </w:tr>
      <w:tr>
        <w:trPr>
          <w:trHeight w:val="522"/>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6680" w:type="dxa"/>
            <w:vAlign w:val="bottom"/>
          </w:tcPr>
          <w:p>
            <w:pPr>
              <w:spacing w:after="0"/>
              <w:rPr>
                <w:sz w:val="24"/>
                <w:szCs w:val="24"/>
                <w:color w:val="auto"/>
              </w:rPr>
            </w:pPr>
          </w:p>
        </w:tc>
      </w:tr>
      <w:tr>
        <w:trPr>
          <w:trHeight w:val="87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Number of private placement warrants to be sold in a</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7,000,000</w:t>
            </w:r>
            <w:r>
              <w:rPr>
                <w:rFonts w:ascii="Times New Roman" w:cs="Times New Roman" w:eastAsia="Times New Roman" w:hAnsi="Times New Roman"/>
                <w:sz w:val="26"/>
                <w:szCs w:val="26"/>
                <w:color w:val="auto"/>
                <w:vertAlign w:val="superscript"/>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private placement simultaneously with this offering</w:t>
            </w:r>
          </w:p>
        </w:tc>
        <w:tc>
          <w:tcPr>
            <w:tcW w:w="6680" w:type="dxa"/>
            <w:vAlign w:val="bottom"/>
          </w:tcPr>
          <w:p>
            <w:pPr>
              <w:spacing w:after="0"/>
              <w:rPr>
                <w:sz w:val="20"/>
                <w:szCs w:val="20"/>
                <w:color w:val="auto"/>
              </w:rPr>
            </w:pPr>
          </w:p>
        </w:tc>
      </w:tr>
      <w:tr>
        <w:trPr>
          <w:trHeight w:val="454"/>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warrants to be outstanding after this offering12,000,000</w:t>
            </w:r>
            <w:r>
              <w:rPr>
                <w:rFonts w:ascii="Times New Roman" w:cs="Times New Roman" w:eastAsia="Times New Roman" w:hAnsi="Times New Roman"/>
                <w:sz w:val="26"/>
                <w:szCs w:val="26"/>
                <w:color w:val="auto"/>
                <w:vertAlign w:val="superscript"/>
              </w:rPr>
              <w:t>(1)</w:t>
            </w:r>
          </w:p>
        </w:tc>
      </w:tr>
      <w:tr>
        <w:trPr>
          <w:trHeight w:val="234"/>
        </w:trPr>
        <w:tc>
          <w:tcPr>
            <w:tcW w:w="3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the sale of private placement warrants</w:t>
            </w:r>
          </w:p>
        </w:tc>
        <w:tc>
          <w:tcPr>
            <w:tcW w:w="6680" w:type="dxa"/>
            <w:vAlign w:val="bottom"/>
          </w:tcPr>
          <w:p>
            <w:pPr>
              <w:spacing w:after="0"/>
              <w:rPr>
                <w:sz w:val="20"/>
                <w:szCs w:val="20"/>
                <w:color w:val="auto"/>
              </w:rPr>
            </w:pPr>
          </w:p>
        </w:tc>
      </w:tr>
      <w:tr>
        <w:trPr>
          <w:trHeight w:val="45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Exercisability</w:t>
            </w: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 whole warrant sold in this offering is exercisable to purchase one Class A ordinary</w:t>
            </w:r>
          </w:p>
        </w:tc>
      </w:tr>
      <w:tr>
        <w:trPr>
          <w:trHeight w:val="234"/>
        </w:trPr>
        <w:tc>
          <w:tcPr>
            <w:tcW w:w="3940" w:type="dxa"/>
            <w:vAlign w:val="bottom"/>
          </w:tcPr>
          <w:p>
            <w:pPr>
              <w:spacing w:after="0"/>
              <w:rPr>
                <w:sz w:val="20"/>
                <w:szCs w:val="20"/>
                <w:color w:val="auto"/>
              </w:rPr>
            </w:pPr>
          </w:p>
        </w:tc>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subject to adjustment as described herein. Only whole warrants are exercisable.</w:t>
            </w:r>
          </w:p>
        </w:tc>
      </w:tr>
    </w:tbl>
    <w:p>
      <w:pPr>
        <w:spacing w:after="0" w:line="225" w:lineRule="exact"/>
        <w:rPr>
          <w:sz w:val="20"/>
          <w:szCs w:val="20"/>
          <w:color w:val="auto"/>
        </w:rPr>
      </w:pPr>
    </w:p>
    <w:p>
      <w:pPr>
        <w:ind w:left="4340" w:right="40"/>
        <w:spacing w:after="0" w:line="255" w:lineRule="auto"/>
        <w:rPr>
          <w:sz w:val="20"/>
          <w:szCs w:val="20"/>
          <w:color w:val="auto"/>
        </w:rPr>
      </w:pPr>
      <w:r>
        <w:rPr>
          <w:rFonts w:ascii="Times New Roman" w:cs="Times New Roman" w:eastAsia="Times New Roman" w:hAnsi="Times New Roman"/>
          <w:sz w:val="18"/>
          <w:szCs w:val="18"/>
          <w:color w:val="auto"/>
        </w:rPr>
        <w:t>We structured each unit to contain one-half of one warrant, with each whole warrant exercisable for one Class A ordinary share, as compared to units issued by some other similar blank check companies that contain whole warrants exercisable for one whole share, to reduce the dilutive effect of the warrants upon completion of a business combination as compared to units that each contain a warrant to purchase one whole share. We believe this makes us a more attractive business combination partner for target businesses.</w:t>
      </w:r>
    </w:p>
    <w:p>
      <w:pPr>
        <w:spacing w:after="0" w:line="162" w:lineRule="exact"/>
        <w:rPr>
          <w:sz w:val="20"/>
          <w:szCs w:val="20"/>
          <w:color w:val="auto"/>
        </w:rPr>
      </w:pPr>
    </w:p>
    <w:p>
      <w:pPr>
        <w:ind w:left="720" w:hanging="42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w:t>
      </w:r>
    </w:p>
    <w:p>
      <w:pPr>
        <w:spacing w:after="0" w:line="27" w:lineRule="exact"/>
        <w:rPr>
          <w:rFonts w:ascii="Times New Roman" w:cs="Times New Roman" w:eastAsia="Times New Roman" w:hAnsi="Times New Roman"/>
          <w:sz w:val="18"/>
          <w:szCs w:val="18"/>
          <w:color w:val="auto"/>
        </w:rPr>
      </w:pPr>
    </w:p>
    <w:p>
      <w:pPr>
        <w:ind w:left="720" w:hanging="422"/>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are currently classified as Class B ordinary shares, which shares will automatically convert into Class A ordinary shares at the time of our initial business combination or earlier at the option of the holder as described below adjacent to the caption “</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and anti-dilution rights</w:t>
      </w:r>
      <w:r>
        <w:rPr>
          <w:rFonts w:ascii="Times New Roman" w:cs="Times New Roman" w:eastAsia="Times New Roman" w:hAnsi="Times New Roman"/>
          <w:sz w:val="18"/>
          <w:szCs w:val="18"/>
          <w:color w:val="auto"/>
        </w:rPr>
        <w:t>” and in our amended and restated memorandum and articles of association.</w:t>
      </w: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24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375,000 founder shares that are subject to forfeiture to the extent the underwriters’ over-allotment option is not exercised.</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10,000,000 public shares and 2,500,000 founder shares, assuming 375,000 founder shares have been forfeited.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$11.50 per whole share, subject to adjustments as described herein. In addition, if (x) we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issue additional Class A ordinary shares or equity-linked securities for capital raising</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purposes in connection with the closing of our initial business combination at an issue price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or effective issue price of less than $9.20 per ordinary share (with such issue price or</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us and, (i) in the case of any such</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issuance to our sponsor or its affiliates, without taking into account any founder shares held</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 our sponsor or such affiliates, as applicable, prior to such issuance, and (ii) to the extent</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that such issuance is made to our sponsor or its affiliates, without taking into account the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transfer of founder shares or private placement warrants (including if such transfer is</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effectuated as a surrender to us and subsequent reissuance by us) by our sponsor in</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connection with such issuance (the “Newly Issued Price”), (y) the aggregate gross proceeds</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from such issuances represent more than 60% of the total equity proceeds, and interest</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thereon, available for the funding of our initial business combination on the date of the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consummation of our initial business combination (net of redemptions), and (z) the volume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weighted average trading price of our Class A ordinary shares during the 20 trading day</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period starting on the trading day prior to the day on which we consummate our initial</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business combination (such price, the “Market Value”) is below $9.20 per share, the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exercise price of the warrants will be adjusted (to the nearest cent) to be equal to 115% of</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higher of the Market Value and the Newly Issued Price and the $18.00 per share</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redemption trigger price described adjacent to “Redemption of warrants when the price per</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Class A ordinary share equals or exceeds $18.00” will be adjusted (to the nearest cent) to</w:t>
            </w:r>
          </w:p>
        </w:tc>
      </w:tr>
      <w:tr>
        <w:trPr>
          <w:trHeight w:val="234"/>
        </w:trPr>
        <w:tc>
          <w:tcPr>
            <w:tcW w:w="2760" w:type="dxa"/>
            <w:vAlign w:val="bottom"/>
          </w:tcPr>
          <w:p>
            <w:pPr>
              <w:spacing w:after="0"/>
              <w:rPr>
                <w:sz w:val="20"/>
                <w:szCs w:val="20"/>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 equal to 180% of the higher of the Market Value and the Newly Issued Price.</w:t>
            </w:r>
          </w:p>
        </w:tc>
      </w:tr>
      <w:tr>
        <w:trPr>
          <w:trHeight w:val="459"/>
        </w:trPr>
        <w:tc>
          <w:tcPr>
            <w:tcW w:w="2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period</w:t>
            </w: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The warrants will become exercisable on the later of:</w:t>
            </w:r>
          </w:p>
        </w:tc>
      </w:tr>
      <w:tr>
        <w:trPr>
          <w:trHeight w:val="351"/>
        </w:trPr>
        <w:tc>
          <w:tcPr>
            <w:tcW w:w="2760" w:type="dxa"/>
            <w:vAlign w:val="bottom"/>
          </w:tcPr>
          <w:p>
            <w:pPr>
              <w:spacing w:after="0"/>
              <w:rPr>
                <w:sz w:val="24"/>
                <w:szCs w:val="24"/>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30 days after the completion of our initial business combination; and</w:t>
            </w:r>
          </w:p>
        </w:tc>
      </w:tr>
      <w:tr>
        <w:trPr>
          <w:trHeight w:val="338"/>
        </w:trPr>
        <w:tc>
          <w:tcPr>
            <w:tcW w:w="2760" w:type="dxa"/>
            <w:vAlign w:val="bottom"/>
          </w:tcPr>
          <w:p>
            <w:pPr>
              <w:spacing w:after="0"/>
              <w:rPr>
                <w:sz w:val="24"/>
                <w:szCs w:val="24"/>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12 months from the closing of this offering;</w:t>
            </w:r>
          </w:p>
        </w:tc>
      </w:tr>
      <w:tr>
        <w:trPr>
          <w:trHeight w:val="441"/>
        </w:trPr>
        <w:tc>
          <w:tcPr>
            <w:tcW w:w="2760" w:type="dxa"/>
            <w:vAlign w:val="bottom"/>
          </w:tcPr>
          <w:p>
            <w:pPr>
              <w:spacing w:after="0"/>
              <w:rPr>
                <w:sz w:val="24"/>
                <w:szCs w:val="24"/>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in each case that we have an effective registration statement under the Securities</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Act covering the issuance of Class A ordinary shares issuable upon exercise of the warrants</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and a current prospectus relating to them is available and such shares are registered,</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qualified or exempt from registration under the securities, or blue sky, laws of the state of</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residence of the holder (or we permit holders to exercise their warrants on a cashless basis</w:t>
            </w:r>
          </w:p>
        </w:tc>
      </w:tr>
      <w:tr>
        <w:trPr>
          <w:trHeight w:val="216"/>
        </w:trPr>
        <w:tc>
          <w:tcPr>
            <w:tcW w:w="2760" w:type="dxa"/>
            <w:vAlign w:val="bottom"/>
          </w:tcPr>
          <w:p>
            <w:pPr>
              <w:spacing w:after="0"/>
              <w:rPr>
                <w:sz w:val="18"/>
                <w:szCs w:val="18"/>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under the circumstances specified in the warrant agreement). If and when the warrants</w:t>
            </w:r>
          </w:p>
        </w:tc>
      </w:tr>
      <w:tr>
        <w:trPr>
          <w:trHeight w:val="234"/>
        </w:trPr>
        <w:tc>
          <w:tcPr>
            <w:tcW w:w="2760" w:type="dxa"/>
            <w:vAlign w:val="bottom"/>
          </w:tcPr>
          <w:p>
            <w:pPr>
              <w:spacing w:after="0"/>
              <w:rPr>
                <w:sz w:val="20"/>
                <w:szCs w:val="20"/>
                <w:color w:val="auto"/>
              </w:rPr>
            </w:pPr>
          </w:p>
        </w:tc>
        <w:tc>
          <w:tcPr>
            <w:tcW w:w="82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become redeemable by us, we may exercise our redemption right even if we are unable to</w:t>
            </w:r>
          </w:p>
        </w:tc>
      </w:tr>
      <w:tr>
        <w:trPr>
          <w:trHeight w:val="159"/>
        </w:trPr>
        <w:tc>
          <w:tcPr>
            <w:tcW w:w="2760" w:type="dxa"/>
            <w:vAlign w:val="bottom"/>
            <w:tcBorders>
              <w:bottom w:val="single" w:sz="8" w:color="auto"/>
            </w:tcBorders>
          </w:tcPr>
          <w:p>
            <w:pPr>
              <w:spacing w:after="0"/>
              <w:rPr>
                <w:sz w:val="13"/>
                <w:szCs w:val="13"/>
                <w:color w:val="auto"/>
              </w:rPr>
            </w:pPr>
          </w:p>
        </w:tc>
        <w:tc>
          <w:tcPr>
            <w:tcW w:w="8260" w:type="dxa"/>
            <w:vAlign w:val="bottom"/>
            <w:tcBorders>
              <w:bottom w:val="single" w:sz="8" w:color="auto"/>
            </w:tcBorders>
          </w:tcPr>
          <w:p>
            <w:pPr>
              <w:spacing w:after="0"/>
              <w:rPr>
                <w:sz w:val="13"/>
                <w:szCs w:val="13"/>
                <w:color w:val="auto"/>
              </w:rPr>
            </w:pPr>
          </w:p>
        </w:tc>
      </w:tr>
      <w:tr>
        <w:trPr>
          <w:trHeight w:val="361"/>
        </w:trPr>
        <w:tc>
          <w:tcPr>
            <w:tcW w:w="2760" w:type="dxa"/>
            <w:vAlign w:val="bottom"/>
          </w:tcPr>
          <w:p>
            <w:pPr>
              <w:spacing w:after="0"/>
              <w:rPr>
                <w:sz w:val="24"/>
                <w:szCs w:val="24"/>
                <w:color w:val="auto"/>
              </w:rPr>
            </w:pPr>
          </w:p>
        </w:tc>
        <w:tc>
          <w:tcPr>
            <w:tcW w:w="82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550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Redemption of warrants when the price per Class A ordinary share equals or exceeds $18.00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 w:right="360"/>
        <w:spacing w:after="0" w:line="282" w:lineRule="auto"/>
        <w:rPr>
          <w:sz w:val="20"/>
          <w:szCs w:val="20"/>
          <w:color w:val="auto"/>
        </w:rPr>
      </w:pPr>
      <w:r>
        <w:rPr>
          <w:rFonts w:ascii="Times New Roman" w:cs="Times New Roman" w:eastAsia="Times New Roman" w:hAnsi="Times New Roman"/>
          <w:sz w:val="18"/>
          <w:szCs w:val="18"/>
          <w:color w:val="auto"/>
        </w:rPr>
        <w:t>register or qualify the underlying securities for sale under all applicable state securities laws.</w:t>
      </w:r>
    </w:p>
    <w:p>
      <w:pPr>
        <w:spacing w:after="0" w:line="202" w:lineRule="exact"/>
        <w:rPr>
          <w:sz w:val="20"/>
          <w:szCs w:val="20"/>
          <w:color w:val="auto"/>
        </w:rPr>
      </w:pPr>
    </w:p>
    <w:p>
      <w:pPr>
        <w:ind w:left="5" w:right="100"/>
        <w:spacing w:after="0" w:line="253" w:lineRule="auto"/>
        <w:rPr>
          <w:sz w:val="20"/>
          <w:szCs w:val="20"/>
          <w:color w:val="auto"/>
        </w:rPr>
      </w:pPr>
      <w:r>
        <w:rPr>
          <w:rFonts w:ascii="Times New Roman" w:cs="Times New Roman" w:eastAsia="Times New Roman" w:hAnsi="Times New Roman"/>
          <w:sz w:val="18"/>
          <w:szCs w:val="18"/>
          <w:color w:val="auto"/>
        </w:rPr>
        <w:t>We will use our commercially reasonable efforts to cause the registration statement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w:t>
      </w:r>
    </w:p>
    <w:p>
      <w:pPr>
        <w:spacing w:after="0" w:line="3" w:lineRule="exact"/>
        <w:rPr>
          <w:sz w:val="20"/>
          <w:szCs w:val="20"/>
          <w:color w:val="auto"/>
        </w:rPr>
      </w:pPr>
    </w:p>
    <w:p>
      <w:pPr>
        <w:ind w:left="245" w:hanging="245"/>
        <w:spacing w:after="0"/>
        <w:tabs>
          <w:tab w:leader="none" w:pos="2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require holders of public warrants who</w:t>
      </w:r>
    </w:p>
    <w:p>
      <w:pPr>
        <w:spacing w:after="0" w:line="9" w:lineRule="exact"/>
        <w:rPr>
          <w:rFonts w:ascii="Times New Roman" w:cs="Times New Roman" w:eastAsia="Times New Roman" w:hAnsi="Times New Roman"/>
          <w:sz w:val="18"/>
          <w:szCs w:val="18"/>
          <w:color w:val="auto"/>
        </w:rPr>
      </w:pPr>
    </w:p>
    <w:p>
      <w:pPr>
        <w:ind w:left="5"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their warrants to do so on a “cashless basis” in accordance with Section 3(a)(9) of the Securities Act and, in the event we so elect, we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w:t>
      </w:r>
    </w:p>
    <w:p>
      <w:pPr>
        <w:spacing w:after="0" w:line="221"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7" w:lineRule="exact"/>
        <w:rPr>
          <w:sz w:val="20"/>
          <w:szCs w:val="20"/>
          <w:color w:val="auto"/>
        </w:rPr>
      </w:pPr>
    </w:p>
    <w:p>
      <w:pPr>
        <w:ind w:left="5" w:right="20"/>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redeem the outstanding warrants (except as described herein with respect to the private placement warrants):</w:t>
      </w:r>
    </w:p>
    <w:p>
      <w:pPr>
        <w:spacing w:after="0" w:line="81" w:lineRule="exact"/>
        <w:rPr>
          <w:sz w:val="20"/>
          <w:szCs w:val="20"/>
          <w:color w:val="auto"/>
        </w:rPr>
      </w:pPr>
    </w:p>
    <w:p>
      <w:pPr>
        <w:ind w:left="185" w:hanging="185"/>
        <w:spacing w:after="0"/>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85" w:right="220" w:hanging="185"/>
        <w:spacing w:after="0" w:line="312" w:lineRule="auto"/>
        <w:tabs>
          <w:tab w:leader="none" w:pos="18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given after the warrants become exercisable (the “30-day redemption period”) to each warrant holder; and</w:t>
      </w:r>
    </w:p>
    <w:p>
      <w:pPr>
        <w:spacing w:after="0" w:line="45" w:lineRule="exact"/>
        <w:rPr>
          <w:rFonts w:ascii="Times New Roman" w:cs="Times New Roman" w:eastAsia="Times New Roman" w:hAnsi="Times New Roman"/>
          <w:sz w:val="17"/>
          <w:szCs w:val="17"/>
          <w:color w:val="auto"/>
        </w:rPr>
      </w:pPr>
    </w:p>
    <w:p>
      <w:pPr>
        <w:ind w:left="185" w:right="60" w:hanging="185"/>
        <w:spacing w:after="0" w:line="258"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Class A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—Warrants—Public Shareholders’ Warrants—Anti-Dilution Adjustments</w:t>
      </w:r>
      <w:r>
        <w:rPr>
          <w:rFonts w:ascii="Times New Roman" w:cs="Times New Roman" w:eastAsia="Times New Roman" w:hAnsi="Times New Roman"/>
          <w:sz w:val="18"/>
          <w:szCs w:val="18"/>
          <w:color w:val="auto"/>
        </w:rPr>
        <w:t>”) for any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days within a 30-trading day period ending on the third trading day prior to the</w:t>
      </w:r>
    </w:p>
    <w:p>
      <w:pPr>
        <w:spacing w:after="0" w:line="200" w:lineRule="exact"/>
        <w:rPr>
          <w:sz w:val="20"/>
          <w:szCs w:val="20"/>
          <w:color w:val="auto"/>
        </w:rPr>
      </w:pPr>
    </w:p>
    <w:p>
      <w:pPr>
        <w:sectPr>
          <w:pgSz w:w="11900" w:h="16838" w:orient="portrait"/>
          <w:cols w:equalWidth="0" w:num="2">
            <w:col w:w="4020" w:space="315"/>
            <w:col w:w="6605"/>
          </w:cols>
          <w:pgMar w:left="320" w:top="455" w:right="639" w:bottom="1440" w:gutter="0" w:footer="0" w:header="0"/>
          <w:type w:val="continuous"/>
        </w:sectPr>
      </w:pPr>
    </w:p>
    <w:p>
      <w:pPr>
        <w:spacing w:after="0" w:line="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740" w:type="dxa"/>
            <w:vAlign w:val="bottom"/>
            <w:tcBorders>
              <w:top w:val="single" w:sz="8" w:color="auto"/>
              <w:left w:val="single" w:sz="8" w:color="auto"/>
            </w:tcBorders>
          </w:tcPr>
          <w:p>
            <w:pPr>
              <w:spacing w:after="0"/>
              <w:rPr>
                <w:sz w:val="24"/>
                <w:szCs w:val="24"/>
                <w:color w:val="auto"/>
              </w:rPr>
            </w:pPr>
          </w:p>
        </w:tc>
        <w:tc>
          <w:tcPr>
            <w:tcW w:w="828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date on which we send the notice of redemption to the warrant holders.</w:t>
            </w:r>
          </w:p>
        </w:tc>
      </w:tr>
      <w:tr>
        <w:trPr>
          <w:trHeight w:val="441"/>
        </w:trPr>
        <w:tc>
          <w:tcPr>
            <w:tcW w:w="274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We will not redeem the warrants as described above unless such warrants are then</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exercisable and an effective registration statement under the Securities Act covering the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Class A ordinary shares issuable upon exercise of the warrants is effective and a current</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prospectus relating to those Class A ordinary shares is available throughout the 30-day</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redemption period. If and when the warrants become redeemable by us, we may exercise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our redemption right even if we are unable to register or qualify the underlying securities</w:t>
            </w:r>
          </w:p>
        </w:tc>
      </w:tr>
      <w:tr>
        <w:trPr>
          <w:trHeight w:val="234"/>
        </w:trPr>
        <w:tc>
          <w:tcPr>
            <w:tcW w:w="27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for sale under all applicable state securities laws.</w:t>
            </w:r>
          </w:p>
        </w:tc>
      </w:tr>
      <w:tr>
        <w:trPr>
          <w:trHeight w:val="441"/>
        </w:trPr>
        <w:tc>
          <w:tcPr>
            <w:tcW w:w="274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If we call the public warrants for redemption as described above, each holder would pay</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the exercise price by surrendering that number of Class A ordinary shares equal to the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quotient obtained by dividing (x) the product of the number of Class A ordinary shares</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underlying the warrants, multiplied by the difference between the exercise price of the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warrants and the “fair market value” of the Class A ordinary shares (defined below) by</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(y) the fair market value of the Class A ordinary shares. The “fair market value” as used in</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this paragraph means the average last reported sale price of the Class A ordinary shares for</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the 10 trading days ending on the trading day immediately prior to the date on which the</w:t>
            </w:r>
          </w:p>
        </w:tc>
      </w:tr>
      <w:tr>
        <w:trPr>
          <w:trHeight w:val="234"/>
        </w:trPr>
        <w:tc>
          <w:tcPr>
            <w:tcW w:w="27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notice of redemption is sent to the holders of the warrants.</w:t>
            </w:r>
          </w:p>
        </w:tc>
      </w:tr>
      <w:tr>
        <w:trPr>
          <w:trHeight w:val="459"/>
        </w:trPr>
        <w:tc>
          <w:tcPr>
            <w:tcW w:w="2740" w:type="dxa"/>
            <w:vAlign w:val="bottom"/>
            <w:tcBorders>
              <w:left w:val="single" w:sz="8" w:color="auto"/>
            </w:tcBorders>
          </w:tcPr>
          <w:p>
            <w:pPr>
              <w:spacing w:after="0"/>
              <w:rPr>
                <w:sz w:val="24"/>
                <w:szCs w:val="24"/>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None of the private placement warrants will be redeemable by us.</w:t>
            </w:r>
          </w:p>
        </w:tc>
      </w:tr>
      <w:tr>
        <w:trPr>
          <w:trHeight w:val="441"/>
        </w:trPr>
        <w:tc>
          <w:tcPr>
            <w:tcW w:w="2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Founder shares</w:t>
            </w: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consideration of 25,156,250 Class B ordinary shares, par value $0.0001. On February 8,</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2023, 22,281,250 Class B ordinary shares were surrendered and thereupon cancelled by the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Company resulting in a decrease in the total number of Class B ordinary shares outstanding</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from 25,156,250 shares to 2,875,000 shares. Prior to the initial investment in the company</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of $25,000 by the sponsor, the company had no assets, tangible or intangible. If we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increase or decrease the size of this offering, we will effect a share capitalization or a share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surrender or redemption or other appropriate mechanism, as applicable, with respect to our</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Class B ordinary shares immediately prior to the consummation of this offering in such</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amount as to maintain the ownership of our sponsor (and its permitted transferees), on an</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as-converted basis, at 20% of our issued and outstanding ordinary shares upon the</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consummation of this offering. Up to 375,000 founder shares are subject to forfeiture by</w:t>
            </w:r>
          </w:p>
        </w:tc>
      </w:tr>
      <w:tr>
        <w:trPr>
          <w:trHeight w:val="216"/>
        </w:trPr>
        <w:tc>
          <w:tcPr>
            <w:tcW w:w="2740" w:type="dxa"/>
            <w:vAlign w:val="bottom"/>
            <w:tcBorders>
              <w:left w:val="single" w:sz="8" w:color="auto"/>
            </w:tcBorders>
          </w:tcPr>
          <w:p>
            <w:pPr>
              <w:spacing w:after="0"/>
              <w:rPr>
                <w:sz w:val="18"/>
                <w:szCs w:val="18"/>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our sponsor, depending on the extent to which the underwriters’ over-allotment option is</w:t>
            </w:r>
          </w:p>
        </w:tc>
      </w:tr>
      <w:tr>
        <w:trPr>
          <w:trHeight w:val="234"/>
        </w:trPr>
        <w:tc>
          <w:tcPr>
            <w:tcW w:w="2740" w:type="dxa"/>
            <w:vAlign w:val="bottom"/>
            <w:tcBorders>
              <w:left w:val="single" w:sz="8" w:color="auto"/>
            </w:tcBorders>
          </w:tcPr>
          <w:p>
            <w:pPr>
              <w:spacing w:after="0"/>
              <w:rPr>
                <w:sz w:val="20"/>
                <w:szCs w:val="20"/>
                <w:color w:val="auto"/>
              </w:rPr>
            </w:pPr>
          </w:p>
        </w:tc>
        <w:tc>
          <w:tcPr>
            <w:tcW w:w="8280" w:type="dxa"/>
            <w:vAlign w:val="bottom"/>
            <w:tcBorders>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exercised.</w:t>
            </w:r>
          </w:p>
        </w:tc>
      </w:tr>
      <w:tr>
        <w:trPr>
          <w:trHeight w:val="159"/>
        </w:trPr>
        <w:tc>
          <w:tcPr>
            <w:tcW w:w="2740" w:type="dxa"/>
            <w:vAlign w:val="bottom"/>
            <w:tcBorders>
              <w:left w:val="single" w:sz="8" w:color="auto"/>
              <w:bottom w:val="single" w:sz="8" w:color="auto"/>
            </w:tcBorders>
          </w:tcPr>
          <w:p>
            <w:pPr>
              <w:spacing w:after="0"/>
              <w:rPr>
                <w:sz w:val="13"/>
                <w:szCs w:val="13"/>
                <w:color w:val="auto"/>
              </w:rPr>
            </w:pPr>
          </w:p>
        </w:tc>
        <w:tc>
          <w:tcPr>
            <w:tcW w:w="8280" w:type="dxa"/>
            <w:vAlign w:val="bottom"/>
            <w:tcBorders>
              <w:bottom w:val="single" w:sz="8" w:color="auto"/>
              <w:right w:val="single" w:sz="8" w:color="auto"/>
            </w:tcBorders>
          </w:tcPr>
          <w:p>
            <w:pPr>
              <w:spacing w:after="0"/>
              <w:rPr>
                <w:sz w:val="13"/>
                <w:szCs w:val="13"/>
                <w:color w:val="auto"/>
              </w:rPr>
            </w:pPr>
          </w:p>
        </w:tc>
      </w:tr>
      <w:tr>
        <w:trPr>
          <w:trHeight w:val="361"/>
        </w:trPr>
        <w:tc>
          <w:tcPr>
            <w:tcW w:w="2740" w:type="dxa"/>
            <w:vAlign w:val="bottom"/>
          </w:tcPr>
          <w:p>
            <w:pPr>
              <w:spacing w:after="0"/>
              <w:rPr>
                <w:sz w:val="24"/>
                <w:szCs w:val="24"/>
                <w:color w:val="auto"/>
              </w:rPr>
            </w:pPr>
          </w:p>
        </w:tc>
        <w:tc>
          <w:tcPr>
            <w:tcW w:w="82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88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40"/>
        <w:spacing w:after="0" w:line="282" w:lineRule="auto"/>
        <w:rPr>
          <w:sz w:val="20"/>
          <w:szCs w:val="20"/>
          <w:color w:val="auto"/>
        </w:rPr>
      </w:pPr>
      <w:r>
        <w:rPr>
          <w:rFonts w:ascii="Times New Roman" w:cs="Times New Roman" w:eastAsia="Times New Roman" w:hAnsi="Times New Roman"/>
          <w:sz w:val="18"/>
          <w:szCs w:val="18"/>
          <w:color w:val="auto"/>
        </w:rPr>
        <w:t>The founder shares are identical to the Class A ordinary shares included in the units being sold in this offering, except that:</w:t>
      </w:r>
    </w:p>
    <w:p>
      <w:pPr>
        <w:spacing w:after="0" w:line="67" w:lineRule="exact"/>
        <w:rPr>
          <w:sz w:val="20"/>
          <w:szCs w:val="20"/>
          <w:color w:val="auto"/>
        </w:rPr>
      </w:pPr>
    </w:p>
    <w:p>
      <w:pPr>
        <w:ind w:left="4520" w:right="100" w:hanging="185"/>
        <w:spacing w:after="0" w:line="282"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subject to certain transfer restrictions, as described in more detail below;</w:t>
      </w:r>
    </w:p>
    <w:p>
      <w:pPr>
        <w:spacing w:after="0" w:line="67" w:lineRule="exact"/>
        <w:rPr>
          <w:rFonts w:ascii="Times New Roman" w:cs="Times New Roman" w:eastAsia="Times New Roman" w:hAnsi="Times New Roman"/>
          <w:sz w:val="18"/>
          <w:szCs w:val="18"/>
          <w:color w:val="auto"/>
        </w:rPr>
      </w:pPr>
    </w:p>
    <w:p>
      <w:pPr>
        <w:ind w:left="4520" w:hanging="185"/>
        <w:spacing w:after="0" w:line="251" w:lineRule="auto"/>
        <w:tabs>
          <w:tab w:leader="none" w:pos="4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and each of our executive officers have entered into an agreement with us, pursuant to which they have agreed to (i) waive their redemption rights with respect to their founder shares and any public shares in connection with the completion of our initial business combination or earlier at our option, (ii) waive their redemption rights with respect to their founder shares and public shares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and (iii) waive their rights to liquidating distributions from the trust account with respect to their founder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 (although they will be entitled to liquidating distributions from the company’s operating account with respect to their founder shares and from the trust account with respect to any public shares they hold if we fail to complete our initial business combination within the prescribed time frame). If we submit our initial business combination to our shareholders for a vote, our sponsor, and each of our directors and executive officers have agreed to vote his or her founder shares and any public shares purchased during or after this offering in favor of our initial business combination. As a result, in addition to our sponsor’s founder shares, we would need 3,750,001 or 37.5% (assuming all outstanding shares are voted), or 625,001 or 6.25% (assuming only the minimum number of shares representing a quorum are voted), of the 10,000,000 public shares sold in this offering to be voted in favor of an initial business combination to have our initial business combination approved;</w:t>
      </w:r>
    </w:p>
    <w:p>
      <w:pPr>
        <w:spacing w:after="0" w:line="106" w:lineRule="exact"/>
        <w:rPr>
          <w:rFonts w:ascii="Times New Roman" w:cs="Times New Roman" w:eastAsia="Times New Roman" w:hAnsi="Times New Roman"/>
          <w:sz w:val="18"/>
          <w:szCs w:val="18"/>
          <w:color w:val="auto"/>
        </w:rPr>
      </w:pPr>
    </w:p>
    <w:p>
      <w:pPr>
        <w:ind w:left="4520" w:right="20" w:hanging="185"/>
        <w:spacing w:after="0" w:line="289" w:lineRule="auto"/>
        <w:tabs>
          <w:tab w:leader="none" w:pos="4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founder shares will automatically convert into our Class A ordinary shares at the time of our initial business combination or earlier at the option of the holder as described below adjacent to the caption “</w:t>
      </w:r>
      <w:r>
        <w:rPr>
          <w:rFonts w:ascii="Times New Roman" w:cs="Times New Roman" w:eastAsia="Times New Roman" w:hAnsi="Times New Roman"/>
          <w:sz w:val="17"/>
          <w:szCs w:val="17"/>
          <w:i w:val="1"/>
          <w:iCs w:val="1"/>
          <w:color w:val="auto"/>
        </w:rPr>
        <w:t>Founder shares conversion and anti-dilution rights</w:t>
      </w:r>
      <w:r>
        <w:rPr>
          <w:rFonts w:ascii="Times New Roman" w:cs="Times New Roman" w:eastAsia="Times New Roman" w:hAnsi="Times New Roman"/>
          <w:sz w:val="17"/>
          <w:szCs w:val="17"/>
          <w:color w:val="auto"/>
        </w:rPr>
        <w:t>” and</w:t>
      </w:r>
    </w:p>
    <w:p>
      <w:pPr>
        <w:spacing w:after="0" w:line="2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in our amended and restated memorandum and articles of association; and</w:t>
            </w:r>
          </w:p>
        </w:tc>
      </w:tr>
      <w:tr>
        <w:trPr>
          <w:trHeight w:val="338"/>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the founder shares are entitled to registration rights.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founder shares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as described herein, our sponsor, directors and executive officers have agreed not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transfer, assign or sell any of their founder shares until the earliest of (A) one year after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completion of our initial business combination or (B) subsequent to our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(x) if the closing price of our Class A ordinary shares equals or exceeds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$12.00 per share (as adjusted for share subdivisions, share capitalizations, reorganizations,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recapitalizations and the like) for any 20 trading days within any 30-trading day period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commencing at least 150 days after our initial business combination, or (y) the date 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which we complete a liquidation, merger, share exchange or other similar transaction that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results in all of our shareholders having the right to exchange their ordinary shares for cash,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securities or other property. Any permitted transferees will be subject to the same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restrictions and other agreements of our sponsor with respect to any founder shares. We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refer to such transfer restrictions throughout this prospectus as the lock-up.</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Founder shares conversion and anti-dilution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founder shares are designated as Class B ordinary shares and will automatically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convert into Class A ordinary shares at the time of the consummation of our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or earlier at the option of the holders thereof at a ratio such that the number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A ordinary shares issuable upon conversion of all founder shares will equal,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aggregate, on an as-converted basis, 20% of the sum of (i) the total number of ordinary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upon completion of this offering, plus (ii) the total number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A ordinary shares issued or deemed issued or issuable upon conversion or exercise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any equity-linked securities (as defined herein) or rights issued or deemed issued, by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company in connection with or in relation to the consummation of the initial business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excluding any Class A ordinary shares or equity-linked securities exercisable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 or convertible into Class A ordinary shares issued, or to be issued, to any seller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initial business combination and any private placement warrants issued to our sponsor upon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conversion of working capital loans, extension loans and overfunding loans. Any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conversion of Class B ordinary shares described herein will take effect as a compulsory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redemption of Class B ordinary shares and an issuance of Class A ordinary shares as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matter of Cayman Islands law. In no event will the Class B ordinary shares convert into</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Class A ordinary shares at a rate of less than one-to-one.</w:t>
            </w:r>
          </w:p>
        </w:tc>
      </w:tr>
      <w:tr>
        <w:trPr>
          <w:trHeight w:val="159"/>
        </w:trPr>
        <w:tc>
          <w:tcPr>
            <w:tcW w:w="4000" w:type="dxa"/>
            <w:vAlign w:val="bottom"/>
            <w:tcBorders>
              <w:left w:val="single" w:sz="8" w:color="auto"/>
              <w:bottom w:val="single" w:sz="8" w:color="auto"/>
            </w:tcBorders>
          </w:tcPr>
          <w:p>
            <w:pPr>
              <w:spacing w:after="0"/>
              <w:rPr>
                <w:sz w:val="13"/>
                <w:szCs w:val="13"/>
                <w:color w:val="auto"/>
              </w:rPr>
            </w:pPr>
          </w:p>
        </w:tc>
        <w:tc>
          <w:tcPr>
            <w:tcW w:w="7020" w:type="dxa"/>
            <w:vAlign w:val="bottom"/>
            <w:tcBorders>
              <w:bottom w:val="single" w:sz="8" w:color="auto"/>
              <w:right w:val="single" w:sz="8" w:color="auto"/>
            </w:tcBorders>
          </w:tcPr>
          <w:p>
            <w:pPr>
              <w:spacing w:after="0"/>
              <w:rPr>
                <w:sz w:val="13"/>
                <w:szCs w:val="13"/>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18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term “equity-linked securities” refers to any debt or equity securities that are</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convertible, exercisable or exchangeable for our Class A ordinary shares issued in a</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financing transaction in connection with our initial business combination, including but not</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limited to a private placement of equity or debt.</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Voting rights</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Holders of record of the Class A ordinary shares and holders of record of the Class B</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ordinary shares will vote together as a single class on all matters submitted to a vote of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shareholders, with each ordinary share entitling the holder to one vote, except as required</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by law.</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sponsor has agreed to purchase an aggregate of 7,000,000 private placement warrants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 7,300,000 private placement warrants if the underwriters’ over-allotment option 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exercised in full), each exercisable to purchase one Class A ordinary share at $11.50 per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share, at a price of $1.00 per warrant ($7,000,000 in the aggregate or $7,300,000 if the</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in a private placement that will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close simultaneously with the closing of this offering. If we do not consummate an initial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business combination within 20 months, or such earlier date as our board of directors may</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approve, from the closing of this offering (or up to 24 months from the closing of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offering if we extend the period of time to consummate a business combination), the</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private placement warrants may expire worthless.</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private placement warrants will be identical to the warrants sold in this offering except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that the private placement warrants (i) will not be redeemable by us, (ii) may not, subject to</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certain limited exceptions, be transferred, assigned or sold by the holders (and the Class A</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ordinary shares issuable upon exercise of these warrants may not be transferred, assigned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 sold by the holders) until 30 days after the completion of our initial business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combination, (iii) may be exercised by the holders on a cashless basis and (iv) will be</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entitled to registration rights.</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Overfunding loan</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sponsor has agreed to lend us $1,000,000 (and up to an additional $150,000 if the</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as of the closing date of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offering at no interest. The proceeds of the overfunding loans will be added to the trust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account such that at the time of closing of this offering $101,000,000 (or $116,150,000 if</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underwriters exercise their over-allotment option in full) will be held in the trust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account, and be used to fund the redemption of our public shares (subject to the</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requirements of applicable law) in accordance with the terms set forth in this prospectus.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overfunding loans will be repaid upon the closing of our initial business combination</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 converted into warrants of the post-business combination entity at a price of $1.00 per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warrant (or any combination thereof), at our sponsor’s discretion, which warrants will be</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identical to the private placement warrants. The overfunding loans are being extended in</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order to ensure that the amount in the trust</w:t>
            </w:r>
          </w:p>
        </w:tc>
      </w:tr>
      <w:tr>
        <w:trPr>
          <w:trHeight w:val="159"/>
        </w:trPr>
        <w:tc>
          <w:tcPr>
            <w:tcW w:w="3180" w:type="dxa"/>
            <w:vAlign w:val="bottom"/>
            <w:tcBorders>
              <w:left w:val="single" w:sz="8" w:color="auto"/>
              <w:bottom w:val="single" w:sz="8" w:color="auto"/>
            </w:tcBorders>
          </w:tcPr>
          <w:p>
            <w:pPr>
              <w:spacing w:after="0"/>
              <w:rPr>
                <w:sz w:val="13"/>
                <w:szCs w:val="13"/>
                <w:color w:val="auto"/>
              </w:rPr>
            </w:pPr>
          </w:p>
        </w:tc>
        <w:tc>
          <w:tcPr>
            <w:tcW w:w="7840" w:type="dxa"/>
            <w:vAlign w:val="bottom"/>
            <w:tcBorders>
              <w:bottom w:val="single" w:sz="8" w:color="auto"/>
              <w:right w:val="single" w:sz="8" w:color="auto"/>
            </w:tcBorders>
          </w:tcPr>
          <w:p>
            <w:pPr>
              <w:spacing w:after="0"/>
              <w:rPr>
                <w:sz w:val="13"/>
                <w:szCs w:val="13"/>
                <w:color w:val="auto"/>
              </w:rPr>
            </w:pPr>
          </w:p>
        </w:tc>
      </w:tr>
      <w:tr>
        <w:trPr>
          <w:trHeight w:val="361"/>
        </w:trPr>
        <w:tc>
          <w:tcPr>
            <w:tcW w:w="3180" w:type="dxa"/>
            <w:vAlign w:val="bottom"/>
          </w:tcPr>
          <w:p>
            <w:pPr>
              <w:spacing w:after="0"/>
              <w:rPr>
                <w:sz w:val="24"/>
                <w:szCs w:val="24"/>
                <w:color w:val="auto"/>
              </w:rPr>
            </w:pPr>
          </w:p>
        </w:tc>
        <w:tc>
          <w:tcPr>
            <w:tcW w:w="78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account is $10.10 per public share. If we do not complete an initial business combination,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will not repay the overfunding loans from amounts held in the trust account, and its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will be distributed to our public shareholders; however, we may repay the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overfunding loans if there are funds available outside the trust account to do so.</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restrictions on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private placement warrants (including the Class A ordinary shares issuable upon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of the private placement warrants) will not be transferable, assignable or salable</w:t>
            </w:r>
          </w:p>
        </w:tc>
      </w:tr>
      <w:tr>
        <w:trPr>
          <w:trHeight w:val="214"/>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until 30 days after the completion of our initial business combination, except as described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herein under “</w:t>
            </w:r>
            <w:r>
              <w:rPr>
                <w:rFonts w:ascii="Times New Roman" w:cs="Times New Roman" w:eastAsia="Times New Roman" w:hAnsi="Times New Roman"/>
                <w:sz w:val="18"/>
                <w:szCs w:val="18"/>
                <w:i w:val="1"/>
                <w:iCs w:val="1"/>
                <w:color w:val="auto"/>
              </w:rPr>
              <w:t>Principal Shareholders—Restrictions on Transfers of Founder Shares and</w:t>
            </w:r>
          </w:p>
        </w:tc>
      </w:tr>
      <w:tr>
        <w:trPr>
          <w:trHeight w:val="236"/>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Cashless exercise of private placement warrants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If holders of private placement warrants elect to exercise them on a cashless basis, they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would pay the exercise price by surrendering their warrants for that number of Class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ordinary shares equal to the quotient obtained by dividing (x) the product of the number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shares underlying the warrants, multiplied by the difference between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price of the warrants and the “fair market value” of the Class A ordinary shares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(defined below) by (y) the fair market value of the Class A ordinary shares. The “fair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market value” as used in this paragraph means the average last reported sale price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 ordinary shares for the 10 trading days ending on the third trading day prior to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date on which the notice of warrant exercise is sent to the warrant agent. The reason that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have agreed that these warrants will be exercisable on a cashless basis is because it 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not known at this time whether the holders of such warrants will be affiliated with us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following a business combination. If they remain affiliated with us, their ability to sell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in the open market will be significantly limited. We expect to have policies 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place that restrict insiders from selling our securities except during specific periods. Even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during such periods of time when insiders will be permitted to sell our securities, an insider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cannot trade in our securities if he or she is in possession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material non-public information. Accordingly, unlike public shareholders who could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their warrants and sell the Class A ordinary shares received upon such exercise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freely in the open market in order to recoup the cost of such exercise, the insiders could be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significantly restricted from selling such securities. As a result, we believe that allowing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holders of private placement warrants to exercise such warrants on a cashless basis is</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appropriate.</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Proceeds to be held in trust account</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the proceeds we will receive from this offering, the sale of the private placement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and the overfunding loans, $101,000,000, or $116,150,000 if the underwriters’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over-allotment option is exercised in full ($10.10 per unit in either case), will be deposited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into a segregated trust account located in the United States with Continental Stock</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&amp; Trust Company acting as trustee, after</w:t>
            </w:r>
          </w:p>
        </w:tc>
      </w:tr>
      <w:tr>
        <w:trPr>
          <w:trHeight w:val="159"/>
        </w:trPr>
        <w:tc>
          <w:tcPr>
            <w:tcW w:w="4040" w:type="dxa"/>
            <w:vAlign w:val="bottom"/>
            <w:tcBorders>
              <w:left w:val="single" w:sz="8" w:color="auto"/>
              <w:bottom w:val="single" w:sz="8" w:color="auto"/>
            </w:tcBorders>
          </w:tcPr>
          <w:p>
            <w:pPr>
              <w:spacing w:after="0"/>
              <w:rPr>
                <w:sz w:val="13"/>
                <w:szCs w:val="13"/>
                <w:color w:val="auto"/>
              </w:rPr>
            </w:pPr>
          </w:p>
        </w:tc>
        <w:tc>
          <w:tcPr>
            <w:tcW w:w="6980" w:type="dxa"/>
            <w:vAlign w:val="bottom"/>
            <w:tcBorders>
              <w:bottom w:val="single" w:sz="8" w:color="auto"/>
              <w:right w:val="single" w:sz="8" w:color="auto"/>
            </w:tcBorders>
          </w:tcPr>
          <w:p>
            <w:pPr>
              <w:spacing w:after="0"/>
              <w:rPr>
                <w:sz w:val="13"/>
                <w:szCs w:val="13"/>
                <w:color w:val="auto"/>
              </w:rPr>
            </w:pPr>
          </w:p>
        </w:tc>
      </w:tr>
      <w:tr>
        <w:trPr>
          <w:trHeight w:val="361"/>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56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right="195" w:hanging="78"/>
        <w:spacing w:after="0" w:line="282" w:lineRule="auto"/>
        <w:rPr>
          <w:sz w:val="20"/>
          <w:szCs w:val="20"/>
          <w:color w:val="auto"/>
        </w:rPr>
      </w:pPr>
      <w:r>
        <w:rPr>
          <w:rFonts w:ascii="Times New Roman" w:cs="Times New Roman" w:eastAsia="Times New Roman" w:hAnsi="Times New Roman"/>
          <w:sz w:val="18"/>
          <w:szCs w:val="18"/>
          <w:color w:val="auto"/>
        </w:rPr>
        <w:t>Ability to extend time to complete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
        <w:spacing w:after="0" w:line="255" w:lineRule="auto"/>
        <w:rPr>
          <w:sz w:val="20"/>
          <w:szCs w:val="20"/>
          <w:color w:val="auto"/>
        </w:rPr>
      </w:pPr>
      <w:r>
        <w:rPr>
          <w:rFonts w:ascii="Times New Roman" w:cs="Times New Roman" w:eastAsia="Times New Roman" w:hAnsi="Times New Roman"/>
          <w:sz w:val="18"/>
          <w:szCs w:val="18"/>
          <w:color w:val="auto"/>
        </w:rPr>
        <w:t>deducting $2,000,000 (or $2,300,000 if the underwriters’ over-allotment option is exercised in full) in underwriting discounts and commissions payable upon the closing of this offering and an aggregate of $5,000,000 to pay fees and expenses in connection with the closing of this offering and for working capital following the closing of this offering. The proceeds to be placed in the trust account include $3,500,000 (or $4,025,000 if the underwriters’ over-allotment option is exercised in full) in deferred underwriting commissions.</w:t>
      </w:r>
    </w:p>
    <w:p>
      <w:pPr>
        <w:spacing w:after="0" w:line="216" w:lineRule="exact"/>
        <w:rPr>
          <w:sz w:val="20"/>
          <w:szCs w:val="20"/>
          <w:color w:val="auto"/>
        </w:rPr>
      </w:pPr>
    </w:p>
    <w:p>
      <w:pPr>
        <w:ind w:left="5" w:right="140"/>
        <w:spacing w:after="0" w:line="270" w:lineRule="auto"/>
        <w:rPr>
          <w:sz w:val="20"/>
          <w:szCs w:val="20"/>
          <w:color w:val="auto"/>
        </w:rPr>
      </w:pPr>
      <w:r>
        <w:rPr>
          <w:rFonts w:ascii="Times New Roman" w:cs="Times New Roman" w:eastAsia="Times New Roman" w:hAnsi="Times New Roman"/>
          <w:sz w:val="17"/>
          <w:szCs w:val="17"/>
          <w:color w:val="auto"/>
        </w:rPr>
        <w:t>Except with respect to interest earned on the funds held in the trust account that may be released to us to pay taxes payable and up to $100,000 of dissolution expenses, if any, the funds held in the trust account will not be released from the trust account until the earliest to occur of: (i) the completion of our initial business combination or earlier at our option;</w:t>
      </w:r>
    </w:p>
    <w:p>
      <w:pPr>
        <w:spacing w:after="0" w:line="3" w:lineRule="exact"/>
        <w:rPr>
          <w:sz w:val="20"/>
          <w:szCs w:val="20"/>
          <w:color w:val="auto"/>
        </w:rPr>
      </w:pPr>
    </w:p>
    <w:p>
      <w:pPr>
        <w:ind w:left="5" w:right="20" w:hanging="5"/>
        <w:spacing w:after="0" w:line="250"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as described in this prospectus), or (B) with respect to any other material provisions relating to shareholders’ rights or pre-initial business combination activity; or (iii) the inability to complete an initial business combination within 20 months, or such earlier date as our board of directors may approve, from the closing of this offering (or up to 24 months from the closing of this offering if we extend the period of time to consummate a business combination). Public shareholders who elect to have their Class A ordinary shares redeemed in connection with a shareholder vote described in clause (ii) in the preceding sentence shall not be entitled to funds from the trust account upon the subsequent completion of an initial business combination or liquidation if we have not completed an initial business combination within 20 months, or such earlier date as our board of directors may approve, from the closing of this offering (or up to 24 months from the closing of this offering if we extend the period of time to consummate a business combination), with respect to such Class A ordinary shares so redeemed. The proceeds deposited in the trust account could become subject to the claims of our creditors, if any, which could have priority over the claims of our public shareholders.</w:t>
      </w:r>
    </w:p>
    <w:p>
      <w:pPr>
        <w:spacing w:after="0" w:line="234" w:lineRule="exact"/>
        <w:rPr>
          <w:sz w:val="20"/>
          <w:szCs w:val="20"/>
          <w:color w:val="auto"/>
        </w:rPr>
      </w:pPr>
    </w:p>
    <w:p>
      <w:pPr>
        <w:ind w:left="5" w:right="240"/>
        <w:spacing w:after="0" w:line="281" w:lineRule="auto"/>
        <w:rPr>
          <w:sz w:val="20"/>
          <w:szCs w:val="20"/>
          <w:color w:val="auto"/>
        </w:rPr>
      </w:pPr>
      <w:r>
        <w:rPr>
          <w:rFonts w:ascii="Times New Roman" w:cs="Times New Roman" w:eastAsia="Times New Roman" w:hAnsi="Times New Roman"/>
          <w:sz w:val="17"/>
          <w:szCs w:val="17"/>
          <w:color w:val="auto"/>
        </w:rPr>
        <w:t>We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w:t>
      </w:r>
    </w:p>
    <w:p>
      <w:pPr>
        <w:spacing w:after="0" w:line="200" w:lineRule="exact"/>
        <w:rPr>
          <w:sz w:val="20"/>
          <w:szCs w:val="20"/>
          <w:color w:val="auto"/>
        </w:rPr>
      </w:pPr>
    </w:p>
    <w:p>
      <w:pPr>
        <w:sectPr>
          <w:pgSz w:w="11900" w:h="16838" w:orient="portrait"/>
          <w:cols w:equalWidth="0" w:num="2">
            <w:col w:w="3615" w:space="720"/>
            <w:col w:w="6605"/>
          </w:cols>
          <w:pgMar w:left="320" w:top="455" w:right="639" w:bottom="1440" w:gutter="0" w:footer="0" w:header="0"/>
          <w:type w:val="continuous"/>
        </w:sectPr>
      </w:pPr>
    </w:p>
    <w:p>
      <w:pPr>
        <w:spacing w:after="0" w:line="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line="267" w:lineRule="auto"/>
        <w:rPr>
          <w:sz w:val="20"/>
          <w:szCs w:val="20"/>
          <w:color w:val="auto"/>
        </w:rPr>
      </w:pPr>
      <w:r>
        <w:rPr>
          <w:rFonts w:ascii="Times New Roman" w:cs="Times New Roman" w:eastAsia="Times New Roman" w:hAnsi="Times New Roman"/>
          <w:sz w:val="17"/>
          <w:szCs w:val="17"/>
          <w:color w:val="auto"/>
        </w:rPr>
        <w:t>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 to an aggregate of 24 months, by depositing into the trust account for</w:t>
      </w:r>
    </w:p>
    <w:p>
      <w:pPr>
        <w:spacing w:after="0" w:line="4" w:lineRule="exact"/>
        <w:rPr>
          <w:sz w:val="20"/>
          <w:szCs w:val="20"/>
          <w:color w:val="auto"/>
        </w:rPr>
      </w:pPr>
    </w:p>
    <w:p>
      <w:pPr>
        <w:ind w:left="4340"/>
        <w:spacing w:after="0"/>
        <w:tabs>
          <w:tab w:leader="none" w:pos="7060" w:val="left"/>
          <w:tab w:leader="none" w:pos="8160" w:val="left"/>
        </w:tabs>
        <w:rPr>
          <w:sz w:val="20"/>
          <w:szCs w:val="20"/>
          <w:color w:val="auto"/>
        </w:rPr>
      </w:pPr>
      <w:r>
        <w:rPr>
          <w:rFonts w:ascii="Times New Roman" w:cs="Times New Roman" w:eastAsia="Times New Roman" w:hAnsi="Times New Roman"/>
          <w:sz w:val="18"/>
          <w:szCs w:val="18"/>
          <w:color w:val="auto"/>
        </w:rPr>
        <w:t>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8"/>
          <w:szCs w:val="18"/>
          <w:color w:val="auto"/>
        </w:rPr>
        <w:t>if the underwriters’ over-allotment</w:t>
      </w:r>
    </w:p>
    <w:p>
      <w:pPr>
        <w:spacing w:after="0" w:line="9" w:lineRule="exact"/>
        <w:rPr>
          <w:sz w:val="20"/>
          <w:szCs w:val="20"/>
          <w:color w:val="auto"/>
        </w:rPr>
      </w:pPr>
    </w:p>
    <w:p>
      <w:pPr>
        <w:ind w:left="4340" w:right="420"/>
        <w:spacing w:after="0" w:line="255" w:lineRule="auto"/>
        <w:rPr>
          <w:sz w:val="20"/>
          <w:szCs w:val="20"/>
          <w:color w:val="auto"/>
        </w:rPr>
      </w:pPr>
      <w:r>
        <w:rPr>
          <w:rFonts w:ascii="Times New Roman" w:cs="Times New Roman" w:eastAsia="Times New Roman" w:hAnsi="Times New Roman"/>
          <w:sz w:val="18"/>
          <w:szCs w:val="18"/>
          <w:color w:val="auto"/>
        </w:rPr>
        <w:t>option is exercised in full ($0. per public share in either case). In this case, shareholders will not be offered an opportunity to vote on an extension and holders of Class A ordinary shares will not be offered an opportunity to redeem their shares.</w:t>
      </w:r>
    </w:p>
    <w:p>
      <w:pPr>
        <w:spacing w:after="0" w:line="2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Contributor will contribute to us, as a loan upon five days’ advance notice prior the end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each applicable deadline, the deposit for each two-month period. In the event the company</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intends to effect an extension, we will issue a press release announcing such intention at</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least three days prior to the applicable deadline. Any such Contributions would be made in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form of non-interest bearing extension loans. If we complete our initial business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combination, we will, at the option of the Contributor, repay such loaned amounts out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the proceeds of the trust account released to us or convert a portion or all of the total</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extension loan amount into warrants of the post-business combination entity at a price of</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$1.00 per warrant, which warrants will be identical to the private placement warrants. If we</w:t>
      </w:r>
    </w:p>
    <w:p>
      <w:pPr>
        <w:spacing w:after="0" w:line="2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do not complete a business combination, we will repay such Contributions only from funds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held outside of the trust account. Any such extension loans would be in addition to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overfunding loans and any working capital loans made to us. Our sponsor and its affiliates</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or designees are not obligated to fund the trust account to extend the time for us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complete our initial business combination.</w:t>
      </w:r>
    </w:p>
    <w:p>
      <w:pPr>
        <w:spacing w:after="0" w:line="234" w:lineRule="exact"/>
        <w:rPr>
          <w:sz w:val="20"/>
          <w:szCs w:val="20"/>
          <w:color w:val="auto"/>
        </w:rPr>
      </w:pPr>
    </w:p>
    <w:p>
      <w:pPr>
        <w:ind w:left="4340" w:right="20"/>
        <w:spacing w:after="0" w:line="254" w:lineRule="auto"/>
        <w:rPr>
          <w:sz w:val="20"/>
          <w:szCs w:val="20"/>
          <w:color w:val="auto"/>
        </w:rPr>
      </w:pPr>
      <w:r>
        <w:rPr>
          <w:rFonts w:ascii="Times New Roman" w:cs="Times New Roman" w:eastAsia="Times New Roman" w:hAnsi="Times New Roman"/>
          <w:sz w:val="18"/>
          <w:szCs w:val="18"/>
          <w:color w:val="auto"/>
        </w:rPr>
        <w:t>If we are unable to complete our initial business combination within 20 months, or such earlier date as our board of directors may approve, from the closing of this offering (or up to 24 months from the closing of this offering if we extend the period of time to consummate a business combination), we will redeem 100% of the Class A ordinary shares at a per share price, payable in cash, equal to the aggregate amount then on deposit in the trust account, including interest earned thereon (less taxes payable and up to $100,000 of interest to pay dissolution expenses), divided by the number of then issued and outstanding Class A ordinary shares, subject to applicable law and certain conditions as further described herein.</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320" w:top="455"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Anticipated expenses and funding sources</w:t>
            </w:r>
          </w:p>
        </w:tc>
        <w:tc>
          <w:tcPr>
            <w:tcW w:w="72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Except as described above with respect to the payment of taxes and up to $100,000 to pay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dissolution expenses, unless and until we complete our initial business combination, no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proceeds held in the trust account will be available for our use. The proceeds held in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trust account will be invested only in U.S. government treasury obligations with a maturity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of 185 days or less or in money market funds meeting certain conditions under Rule 2a-7</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under the Investment Company Act which invest only in direct U.S. government treasury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obligations. Assuming an interest rate of 3.0 % per year, we estimate the interest earned on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the trust account will be approximately $3,000,000 per year; however, we can provide no</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assurances regarding this amount. Unless and until we complete our initial business</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combination, we may pay our expenses only from:</w:t>
            </w: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the net proceeds of this offering, the sale of the private placement warrants and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overfunding loans not held in the trust account, which will be approximately $2,500,000</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in working capital after the payment of approximately $2,500,000 in expenses relating to</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this offering; and</w:t>
            </w: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any loans or additional investments from our sponsor or an affiliate of our sponsor or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certain of our officers and directors, although they are under no obligation to advance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funds or invest in us, and provided any such loans will not have any claim on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proceeds held in the trust account unless such proceeds are released to us upon</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r>
      <w:tr>
        <w:trPr>
          <w:trHeight w:val="441"/>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completing our initial business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NYSE rules currently require that, our initial business combination must occur with one or</w:t>
            </w:r>
          </w:p>
        </w:tc>
      </w:tr>
      <w:tr>
        <w:trPr>
          <w:trHeight w:val="216"/>
        </w:trPr>
        <w:tc>
          <w:tcPr>
            <w:tcW w:w="38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combination</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more target businesses that together have an aggregate fair market value of at least 80% of</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our assets held in the trust account (excluding the amount of deferred underwriting</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discounts held in trust and taxes payable on the income earned on the trust account) at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time of our signing a definitive agreement in connection with our initial business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combination. If our board of directors is not able to independently determine the fair</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market value of the target business or businesses, we will obtain an opinion from an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independent entity that commonly renders valuation opinions with respect to the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satisfaction of such criteria. Our shareholders may not be provided with a copy of such</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opinion nor will they be able to rely on such opinion.</w:t>
            </w:r>
          </w:p>
        </w:tc>
      </w:tr>
      <w:tr>
        <w:trPr>
          <w:trHeight w:val="441"/>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combination company in which our public shareholders own shares will own or acquire</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 of the equity interests or assets of the target business or businesses. We may,</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however, structure our initial business combination such that the post-business combination</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company owns or acquires less than 100% of such interests or assets of the target business</w:t>
            </w: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to meet certain objectives of the prior owners of the target business, the target management</w:t>
            </w: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team or shareholders or for</w:t>
            </w:r>
          </w:p>
        </w:tc>
      </w:tr>
      <w:tr>
        <w:trPr>
          <w:trHeight w:val="159"/>
        </w:trPr>
        <w:tc>
          <w:tcPr>
            <w:tcW w:w="3820" w:type="dxa"/>
            <w:vAlign w:val="bottom"/>
            <w:tcBorders>
              <w:left w:val="single" w:sz="8" w:color="auto"/>
              <w:bottom w:val="single" w:sz="8" w:color="auto"/>
            </w:tcBorders>
          </w:tcPr>
          <w:p>
            <w:pPr>
              <w:spacing w:after="0"/>
              <w:rPr>
                <w:sz w:val="13"/>
                <w:szCs w:val="13"/>
                <w:color w:val="auto"/>
              </w:rPr>
            </w:pPr>
          </w:p>
        </w:tc>
        <w:tc>
          <w:tcPr>
            <w:tcW w:w="7200" w:type="dxa"/>
            <w:vAlign w:val="bottom"/>
            <w:tcBorders>
              <w:bottom w:val="single" w:sz="8" w:color="auto"/>
              <w:right w:val="single" w:sz="8" w:color="auto"/>
            </w:tcBorders>
          </w:tcPr>
          <w:p>
            <w:pPr>
              <w:spacing w:after="0"/>
              <w:rPr>
                <w:sz w:val="13"/>
                <w:szCs w:val="13"/>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473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outstanding equity interests or assets of a target business or businesses are owned or acquired by the post-business combination company, the 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any time prior to the shareholder meeting to approve our initial business combination, during a period when they are not then aware of any material nonpublic information regarding the company or its securities, the sponsor, directors, executive officers, advisors or any of their affiliates, including without limitation, officers and affiliates of Ares or Ares funds, or investors in such Ares funds may, in privately negotiated transactions or in the open market, (i) purchase shares from institutional and other investors who vote, or indicate an intention to vote, against the business combination, (ii) execute agreements to purchase such shares from institutional and other investors in the future, and/or (iii) enter into transactions with institutional and other investors to provide such persons with incentives to acquire Class A ordinary shares. Such an agreement may include a contractual acknowledgement that such shareholder, although still the record holder of such shares, is no longer the beneficial owner thereof and therefore agrees not to exercise its redemption rights. In the event that the sponsor, directors, executive officers, advisors or any of their affiliates, including without limitation, officers and affiliates of Ares or Ares funds, or investors in such Ares funds purchase shares in privately negotiated transactions from public shareholders who have already elected to exercise their</w:t>
      </w:r>
    </w:p>
    <w:p>
      <w:pPr>
        <w:spacing w:after="0" w:line="200" w:lineRule="exact"/>
        <w:rPr>
          <w:sz w:val="20"/>
          <w:szCs w:val="20"/>
          <w:color w:val="auto"/>
        </w:rPr>
      </w:pPr>
    </w:p>
    <w:p>
      <w:pPr>
        <w:sectPr>
          <w:pgSz w:w="11900" w:h="16838" w:orient="portrait"/>
          <w:cols w:equalWidth="0" w:num="2">
            <w:col w:w="3740" w:space="600"/>
            <w:col w:w="6600"/>
          </w:cols>
          <w:pgMar w:left="320" w:top="455" w:right="639" w:bottom="1440" w:gutter="0" w:footer="0" w:header="0"/>
          <w:type w:val="continuous"/>
        </w:sectPr>
      </w:pP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7905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left="300"/>
        <w:spacing w:after="0" w:line="312" w:lineRule="auto"/>
        <w:rPr>
          <w:sz w:val="20"/>
          <w:szCs w:val="20"/>
          <w:color w:val="auto"/>
        </w:rPr>
      </w:pPr>
      <w:r>
        <w:rPr>
          <w:rFonts w:ascii="Times New Roman" w:cs="Times New Roman" w:eastAsia="Times New Roman" w:hAnsi="Times New Roman"/>
          <w:sz w:val="17"/>
          <w:szCs w:val="17"/>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
        <w:spacing w:after="0" w:line="252" w:lineRule="auto"/>
        <w:rPr>
          <w:sz w:val="20"/>
          <w:szCs w:val="20"/>
          <w:color w:val="auto"/>
        </w:rPr>
      </w:pPr>
      <w:r>
        <w:rPr>
          <w:rFonts w:ascii="Times New Roman" w:cs="Times New Roman" w:eastAsia="Times New Roman" w:hAnsi="Times New Roman"/>
          <w:sz w:val="18"/>
          <w:szCs w:val="18"/>
          <w:color w:val="auto"/>
        </w:rPr>
        <w:t>redemption rights, such selling public shareholders would be required to revoke their prior elections to redeem their shares. While the exact nature of any such incentives has not been determined as of the date of this prospectus, they might include, without limitation, arrangements to protect such investors or holders against potential loss in value of their shares, including the granting of put options and the transfer of shares or the company’s warrants owned by the sponsor for nominal value to such investors or holders. Any Class A ordinary shares acquired by the persons described above would not be voted in connection with the business combination. Any such purchases will be reported pursuant to Section 13 and Section 16 of the Exchange Act to the extent such purchasers are subject to such reporting requirements. See “</w:t>
      </w:r>
      <w:r>
        <w:rPr>
          <w:rFonts w:ascii="Times New Roman" w:cs="Times New Roman" w:eastAsia="Times New Roman" w:hAnsi="Times New Roman"/>
          <w:sz w:val="18"/>
          <w:szCs w:val="18"/>
          <w:i w:val="1"/>
          <w:iCs w:val="1"/>
          <w:color w:val="auto"/>
        </w:rPr>
        <w:t>Proposed Business—Permitted Purchases of Our Securities</w:t>
      </w:r>
      <w:r>
        <w:rPr>
          <w:rFonts w:ascii="Times New Roman" w:cs="Times New Roman" w:eastAsia="Times New Roman" w:hAnsi="Times New Roman"/>
          <w:sz w:val="18"/>
          <w:szCs w:val="18"/>
          <w:color w:val="auto"/>
        </w:rPr>
        <w:t>” for a description of how our sponsor, directors, executive officers, advisors or any of their affiliates, including without limitation, officers and affiliates of Ares or Ares funds, or investors in such Ares funds, will select which shareholders to purchase securities from in any private transaction.</w:t>
      </w:r>
    </w:p>
    <w:p>
      <w:pPr>
        <w:spacing w:after="0" w:line="238" w:lineRule="exact"/>
        <w:rPr>
          <w:sz w:val="20"/>
          <w:szCs w:val="20"/>
          <w:color w:val="auto"/>
        </w:rPr>
      </w:pPr>
    </w:p>
    <w:p>
      <w:pPr>
        <w:ind w:left="5" w:right="60"/>
        <w:spacing w:after="0" w:line="253" w:lineRule="auto"/>
        <w:rPr>
          <w:sz w:val="20"/>
          <w:szCs w:val="20"/>
          <w:color w:val="auto"/>
        </w:rPr>
      </w:pPr>
      <w:r>
        <w:rPr>
          <w:rFonts w:ascii="Times New Roman" w:cs="Times New Roman" w:eastAsia="Times New Roman" w:hAnsi="Times New Roman"/>
          <w:sz w:val="18"/>
          <w:szCs w:val="18"/>
          <w:color w:val="auto"/>
        </w:rPr>
        <w:t>The purpose of any such transaction could be to reduce the number of public warrants outstanding or vote such warrants on any matters submitted to the warrant holders for approval in connection with our initial business combination or to satisfy a closing condition in an agreement with a target that requires us to have a certain amount of cash at the closing of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21" w:lineRule="exact"/>
        <w:rPr>
          <w:sz w:val="20"/>
          <w:szCs w:val="20"/>
          <w:color w:val="auto"/>
        </w:rPr>
      </w:pPr>
    </w:p>
    <w:p>
      <w:pPr>
        <w:ind w:left="5"/>
        <w:spacing w:after="0" w:line="267" w:lineRule="auto"/>
        <w:rPr>
          <w:sz w:val="20"/>
          <w:szCs w:val="20"/>
          <w:color w:val="auto"/>
        </w:rPr>
      </w:pPr>
      <w:r>
        <w:rPr>
          <w:rFonts w:ascii="Times New Roman" w:cs="Times New Roman" w:eastAsia="Times New Roman" w:hAnsi="Times New Roman"/>
          <w:sz w:val="17"/>
          <w:szCs w:val="17"/>
          <w:color w:val="auto"/>
        </w:rPr>
        <w:t>As of the date of this prospectus, there have been no such discussions and no agreements to such effect have been entered into with any such investor or holder. The company will file a Current Report on Form 8-K prior to the shareholder meeting to approve our initial business combination to disclose any arrangements entered into or significant purchases made by any of the aforementioned persons. Any such report will include (i) the amount of Class A ordinary shares purchased and the purchase price; (ii) the purpose of such purchases; (iii) the impact of such purchases on the likelihood that the business combination transaction will be approved; (iv) the identities or characteristics of security holders who sold shares if not purchased in the open market or the nature of the sellers; and</w:t>
      </w:r>
    </w:p>
    <w:p>
      <w:pPr>
        <w:spacing w:after="0" w:line="5" w:lineRule="exact"/>
        <w:rPr>
          <w:sz w:val="20"/>
          <w:szCs w:val="20"/>
          <w:color w:val="auto"/>
        </w:rPr>
      </w:pPr>
    </w:p>
    <w:p>
      <w:pPr>
        <w:ind w:left="5" w:right="60" w:hanging="5"/>
        <w:spacing w:after="0" w:line="260"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for which the company has received redemption requests.</w:t>
      </w:r>
    </w:p>
    <w:p>
      <w:pPr>
        <w:spacing w:after="0" w:line="208" w:lineRule="exact"/>
        <w:rPr>
          <w:sz w:val="20"/>
          <w:szCs w:val="20"/>
          <w:color w:val="auto"/>
        </w:rPr>
      </w:pPr>
    </w:p>
    <w:p>
      <w:pPr>
        <w:ind w:left="5" w:right="500"/>
        <w:spacing w:after="0" w:line="28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elect to have all or a portion of their Class A ordinary shares redeemed</w:t>
      </w:r>
    </w:p>
    <w:p>
      <w:pPr>
        <w:spacing w:after="0" w:line="221" w:lineRule="exact"/>
        <w:rPr>
          <w:sz w:val="20"/>
          <w:szCs w:val="20"/>
          <w:color w:val="auto"/>
        </w:rPr>
      </w:pPr>
    </w:p>
    <w:p>
      <w:pPr>
        <w:sectPr>
          <w:pgSz w:w="11900" w:h="16838" w:orient="portrait"/>
          <w:cols w:equalWidth="0" w:num="2">
            <w:col w:w="3740" w:space="595"/>
            <w:col w:w="6585"/>
          </w:cols>
          <w:pgMar w:left="320" w:top="455" w:right="659" w:bottom="1440" w:gutter="0" w:footer="0" w:header="0"/>
          <w:type w:val="continuous"/>
        </w:sectPr>
      </w:pPr>
    </w:p>
    <w:p>
      <w:pPr>
        <w:spacing w:after="0" w:line="6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320" w:top="455"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44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52" w:lineRule="auto"/>
        <w:rPr>
          <w:sz w:val="20"/>
          <w:szCs w:val="20"/>
          <w:color w:val="auto"/>
        </w:rPr>
      </w:pPr>
      <w:r>
        <w:rPr>
          <w:rFonts w:ascii="Times New Roman" w:cs="Times New Roman" w:eastAsia="Times New Roman" w:hAnsi="Times New Roman"/>
          <w:sz w:val="18"/>
          <w:szCs w:val="18"/>
          <w:color w:val="auto"/>
        </w:rPr>
        <w:t>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thereon (less taxes payable), divided by the number of then-outstanding public shares, subject to the limitations described herein. The amount in the trust account is initially anticipated to be approximately $10.10 per public share. The per share amount we will distribute to investors who properly elect to have their shares redeemed will not be reduced by the deferred underwriting commissions we will pay to the underwriters. The redemption rights will include the requirement that a beneficial holder must identify itself before we can validly redeem its shares. There will be no redemption rights upon the completion of our initial business combination with respect to our warrants. Our sponsor and each of our directors and executive officers have entered into an agreement with us, pursuant to which they have agreed to waive their redemption rights with respect to any founder shares and any public shares in connection with the completion of our initial business combination or earlier at our option.</w:t>
      </w:r>
    </w:p>
    <w:p>
      <w:pPr>
        <w:sectPr>
          <w:pgSz w:w="11900" w:h="16838" w:orient="portrait"/>
          <w:cols w:equalWidth="0" w:num="1">
            <w:col w:w="10940"/>
          </w:cols>
          <w:pgMar w:left="320" w:top="455" w:right="639" w:bottom="1440" w:gutter="0" w:footer="0" w:header="0"/>
        </w:sect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Manner of conducting redemptions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 their public shares redeemed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Asset acquisitions and share purchases would not typically require shareholder approval, while direct mergers with our company where we do not survive and any transactions where we issue more than 20% of our outstanding Class A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requirements and we choose to conduct redemptions pursuant to the tender offer rules of the SEC for business or other legal reasons.</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If we hold a shareholder vote to approve our initial business combination, we will:</w:t>
      </w:r>
    </w:p>
    <w:p>
      <w:pPr>
        <w:spacing w:after="0" w:line="131" w:lineRule="exact"/>
        <w:rPr>
          <w:sz w:val="20"/>
          <w:szCs w:val="20"/>
          <w:color w:val="auto"/>
        </w:rPr>
      </w:pPr>
    </w:p>
    <w:p>
      <w:pPr>
        <w:ind w:left="4520" w:right="20" w:hanging="185"/>
        <w:spacing w:after="0" w:line="266" w:lineRule="auto"/>
        <w:tabs>
          <w:tab w:leader="none" w:pos="4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81" w:lineRule="exact"/>
        <w:rPr>
          <w:rFonts w:ascii="Times New Roman" w:cs="Times New Roman" w:eastAsia="Times New Roman" w:hAnsi="Times New Roman"/>
          <w:sz w:val="18"/>
          <w:szCs w:val="18"/>
          <w:color w:val="auto"/>
        </w:rPr>
      </w:pPr>
    </w:p>
    <w:p>
      <w:pPr>
        <w:ind w:left="4520" w:hanging="185"/>
        <w:spacing w:after="0"/>
        <w:tabs>
          <w:tab w:leader="none" w:pos="4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07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60"/>
        <w:spacing w:after="0" w:line="261"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approved as an ordinary resolution under Cayman Islands law, which requires the affirmative vote of shareholders holding a majority of ordinary shares who attend and vote at a general meeting (referred to herein as a “shareholder meeting”) of the company.</w:t>
      </w:r>
    </w:p>
    <w:p>
      <w:pPr>
        <w:spacing w:after="0" w:line="207" w:lineRule="exact"/>
        <w:rPr>
          <w:sz w:val="20"/>
          <w:szCs w:val="20"/>
          <w:color w:val="auto"/>
        </w:rPr>
      </w:pPr>
    </w:p>
    <w:p>
      <w:pPr>
        <w:ind w:left="4340" w:right="20"/>
        <w:spacing w:after="0" w:line="269" w:lineRule="auto"/>
        <w:rPr>
          <w:sz w:val="20"/>
          <w:szCs w:val="20"/>
          <w:color w:val="auto"/>
        </w:rPr>
      </w:pPr>
      <w:r>
        <w:rPr>
          <w:rFonts w:ascii="Times New Roman" w:cs="Times New Roman" w:eastAsia="Times New Roman" w:hAnsi="Times New Roman"/>
          <w:sz w:val="17"/>
          <w:szCs w:val="17"/>
          <w:color w:val="auto"/>
        </w:rPr>
        <w:t>In this case, our sponsor and each of our directors and executive officers have agreed to vote their founder shares and any public shares purchased during or after this offering in favor of our initial business combination. As a result, if approved as an ordinary resolution, in addition to our sponsor’s founder shares, we would need 3,750,001 or 37.5% (assuming all outstanding shares are voted), or 625,001 or 6.25% (assuming only the minimum number of shares representing a quorum are voted), of the 10,000,000 public shares sold in this offering to be voted in favor of an initial business combination to have our initial business combination approved. Each public shareholder may elect to have their public shares redeemed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209" w:lineRule="exact"/>
        <w:rPr>
          <w:sz w:val="20"/>
          <w:szCs w:val="20"/>
          <w:color w:val="auto"/>
        </w:rPr>
      </w:pPr>
    </w:p>
    <w:p>
      <w:pPr>
        <w:ind w:left="4340" w:right="10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4520" w:right="260" w:hanging="185"/>
        <w:spacing w:after="0" w:line="282" w:lineRule="auto"/>
        <w:tabs>
          <w:tab w:leader="none" w:pos="4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67" w:lineRule="exact"/>
        <w:rPr>
          <w:rFonts w:ascii="Times New Roman" w:cs="Times New Roman" w:eastAsia="Times New Roman" w:hAnsi="Times New Roman"/>
          <w:sz w:val="18"/>
          <w:szCs w:val="18"/>
          <w:color w:val="auto"/>
        </w:rPr>
      </w:pPr>
    </w:p>
    <w:p>
      <w:pPr>
        <w:ind w:left="4520" w:right="80" w:hanging="185"/>
        <w:spacing w:after="0" w:line="261" w:lineRule="auto"/>
        <w:tabs>
          <w:tab w:leader="none" w:pos="4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07" w:lineRule="exact"/>
        <w:rPr>
          <w:sz w:val="20"/>
          <w:szCs w:val="20"/>
          <w:color w:val="auto"/>
        </w:rPr>
      </w:pPr>
    </w:p>
    <w:p>
      <w:pPr>
        <w:ind w:left="4340" w:right="80"/>
        <w:spacing w:after="0" w:line="261"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to comply with Rule 14e-5 under the Exchange Act.</w:t>
      </w:r>
    </w:p>
    <w:p>
      <w:pPr>
        <w:spacing w:after="0" w:line="207"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3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20"/>
          </w:cols>
          <w:pgMar w:left="320" w:top="455" w:right="6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053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053330"/>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80" w:right="60" w:hanging="78"/>
        <w:spacing w:after="0" w:line="266" w:lineRule="auto"/>
        <w:rPr>
          <w:sz w:val="20"/>
          <w:szCs w:val="20"/>
          <w:color w:val="auto"/>
        </w:rPr>
      </w:pPr>
      <w:r>
        <w:rPr>
          <w:rFonts w:ascii="Times New Roman" w:cs="Times New Roman" w:eastAsia="Times New Roman" w:hAnsi="Times New Roman"/>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having their shares redeemed with respect to more than an aggregate of 15% of the shares sold in this offering or 1,500,000 (or up to 1,725,000 if the over-allotment option is exercised in full), without our prior consent. We believe the restriction described above will discourage shareholders from accumulating large blocks of shares, and subsequent attempts by such holders to use their ability to require us to redeem their shares as a means to force us or our directors and executive officers or affiliates of our sponsor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require us to redeem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certain amount of cash. However, the ability of our shareholders to vote all of their shares (including all shares held by those shareholders that hold more than 15% of the shares sold in this offering) for or against our initial business combination would not be restricted.</w:t>
      </w:r>
    </w:p>
    <w:p>
      <w:pPr>
        <w:spacing w:after="0" w:line="2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the completion of our initial business combination or earlier at our option, the funds held in the trust account will be disbursed directly by the trustee to pay amounts due to any public shareholders who exercise their redemption rights as described above adjacent to the caption “</w:t>
      </w:r>
      <w:r>
        <w:rPr>
          <w:rFonts w:ascii="Times New Roman" w:cs="Times New Roman" w:eastAsia="Times New Roman" w:hAnsi="Times New Roman"/>
          <w:sz w:val="18"/>
          <w:szCs w:val="18"/>
          <w:i w:val="1"/>
          <w:iCs w:val="1"/>
          <w:color w:val="auto"/>
        </w:rPr>
        <w:t>Redemption rights for public shareholders upon completion of our 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to pay the underwriters their deferred underwriting commissions, to repay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overfunding loans if not converted, to repay any extension loans if not converted, to pay all or a portion of the consideration payable to the target or owners of the target of our initial business combination and to pay other expenses associated with our initial business combination. If our</w:t>
      </w:r>
    </w:p>
    <w:p>
      <w:pPr>
        <w:spacing w:after="0" w:line="200" w:lineRule="exact"/>
        <w:rPr>
          <w:sz w:val="20"/>
          <w:szCs w:val="20"/>
          <w:color w:val="auto"/>
        </w:rPr>
      </w:pPr>
    </w:p>
    <w:p>
      <w:pPr>
        <w:sectPr>
          <w:pgSz w:w="11900" w:h="16838" w:orient="portrait"/>
          <w:cols w:equalWidth="0" w:num="2">
            <w:col w:w="3920" w:space="420"/>
            <w:col w:w="6580"/>
          </w:cols>
          <w:pgMar w:left="320" w:top="455" w:right="659" w:bottom="1440" w:gutter="0" w:footer="0" w:header="0"/>
          <w:type w:val="continuous"/>
        </w:sectPr>
      </w:pPr>
    </w:p>
    <w:p>
      <w:pPr>
        <w:spacing w:after="0" w:line="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20"/>
          </w:cols>
          <w:pgMar w:left="320" w:top="455" w:right="6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481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0" w:hanging="78"/>
        <w:spacing w:after="0" w:line="312" w:lineRule="auto"/>
        <w:rPr>
          <w:sz w:val="20"/>
          <w:szCs w:val="20"/>
          <w:color w:val="auto"/>
        </w:rPr>
      </w:pPr>
      <w:r>
        <w:rPr>
          <w:rFonts w:ascii="Times New Roman" w:cs="Times New Roman" w:eastAsia="Times New Roman" w:hAnsi="Times New Roman"/>
          <w:sz w:val="17"/>
          <w:szCs w:val="17"/>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post-business combination businesses, the payment of principal or interest due on indebtedness incurred in completing our initial business combination, to fund the purchase of other companies or for working capital.</w:t>
      </w:r>
    </w:p>
    <w:p>
      <w:pPr>
        <w:spacing w:after="0" w:line="2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20 months, or such earlier date as our board of directors may approve, from the closing of this offering (or up to 24 months from the closing of this offering if we extend the period of time to consummate a business combination) to consummate our initial business combination. 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we will as promptly as reasonably possible but not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 There will be no redemption rights or liquidating distributions with respect to our warrants, which may expire worthless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 However, if our sponsor, directors or executive officers acquire public shares in or after this offering, they will be entitled to liquidating distributions</w:t>
      </w:r>
    </w:p>
    <w:p>
      <w:pPr>
        <w:spacing w:after="0" w:line="200" w:lineRule="exact"/>
        <w:rPr>
          <w:sz w:val="20"/>
          <w:szCs w:val="20"/>
          <w:color w:val="auto"/>
        </w:rPr>
      </w:pPr>
    </w:p>
    <w:p>
      <w:pPr>
        <w:sectPr>
          <w:pgSz w:w="11900" w:h="16838" w:orient="portrait"/>
          <w:cols w:equalWidth="0" w:num="2">
            <w:col w:w="3840" w:space="500"/>
            <w:col w:w="6600"/>
          </w:cols>
          <w:pgMar w:left="320" w:top="455" w:right="639" w:bottom="1440" w:gutter="0" w:footer="0" w:header="0"/>
          <w:type w:val="continuous"/>
        </w:sectPr>
      </w:pPr>
    </w:p>
    <w:p>
      <w:pPr>
        <w:spacing w:after="0" w:line="1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5" w:right="6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88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20"/>
        <w:spacing w:after="0" w:line="258" w:lineRule="auto"/>
        <w:rPr>
          <w:sz w:val="20"/>
          <w:szCs w:val="20"/>
          <w:color w:val="auto"/>
        </w:rPr>
      </w:pPr>
      <w:r>
        <w:rPr>
          <w:rFonts w:ascii="Times New Roman" w:cs="Times New Roman" w:eastAsia="Times New Roman" w:hAnsi="Times New Roman"/>
          <w:sz w:val="18"/>
          <w:szCs w:val="18"/>
          <w:color w:val="auto"/>
        </w:rPr>
        <w:t>from the company’s operating account with respect to their founder shares and from the trust account with respect to such public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pacing w:after="0" w:line="224" w:lineRule="exact"/>
        <w:rPr>
          <w:sz w:val="20"/>
          <w:szCs w:val="20"/>
          <w:color w:val="auto"/>
        </w:rPr>
      </w:pPr>
    </w:p>
    <w:p>
      <w:pPr>
        <w:ind w:left="4340" w:right="20"/>
        <w:spacing w:after="0" w:line="255" w:lineRule="auto"/>
        <w:rPr>
          <w:sz w:val="20"/>
          <w:szCs w:val="20"/>
          <w:color w:val="auto"/>
        </w:rPr>
      </w:pPr>
      <w:r>
        <w:rPr>
          <w:rFonts w:ascii="Times New Roman" w:cs="Times New Roman" w:eastAsia="Times New Roman" w:hAnsi="Times New Roman"/>
          <w:sz w:val="18"/>
          <w:szCs w:val="18"/>
          <w:color w:val="auto"/>
        </w:rPr>
        <w:t>The underwriters have agreed to waive their rights to their deferred underwriting commission held in the trust account in the event we do not consummate an initial business combination within 20 months, or such earlier date as our board of directors may approve, from the closing of this offering (or up to 24 months from the closing of this offering if we extend the period of time to consummate a business combination) and, in such event, such amounts will be included with the funds held in the trust account that will be available to fund the redemption of our public shares.</w:t>
      </w:r>
    </w:p>
    <w:p>
      <w:pPr>
        <w:spacing w:after="0" w:line="216" w:lineRule="exact"/>
        <w:rPr>
          <w:sz w:val="20"/>
          <w:szCs w:val="20"/>
          <w:color w:val="auto"/>
        </w:rPr>
      </w:pPr>
    </w:p>
    <w:p>
      <w:pPr>
        <w:ind w:left="4340"/>
        <w:spacing w:after="0" w:line="267" w:lineRule="auto"/>
        <w:rPr>
          <w:sz w:val="20"/>
          <w:szCs w:val="20"/>
          <w:color w:val="auto"/>
        </w:rPr>
      </w:pPr>
      <w:r>
        <w:rPr>
          <w:rFonts w:ascii="Times New Roman" w:cs="Times New Roman" w:eastAsia="Times New Roman" w:hAnsi="Times New Roman"/>
          <w:sz w:val="17"/>
          <w:szCs w:val="17"/>
          <w:color w:val="auto"/>
        </w:rPr>
        <w:t>Our sponsor, executive officers, directors and director nominees have agreed,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thereon (less taxes payable), divided by the number of the then-outstanding public shares, subject to the limitations described above adjacent to the caption “</w:t>
      </w:r>
      <w:r>
        <w:rPr>
          <w:rFonts w:ascii="Times New Roman" w:cs="Times New Roman" w:eastAsia="Times New Roman" w:hAnsi="Times New Roman"/>
          <w:sz w:val="17"/>
          <w:szCs w:val="17"/>
          <w:i w:val="1"/>
          <w:iCs w:val="1"/>
          <w:color w:val="auto"/>
        </w:rPr>
        <w:t>Limitations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redemptions</w:t>
      </w:r>
      <w:r>
        <w:rPr>
          <w:rFonts w:ascii="Times New Roman" w:cs="Times New Roman" w:eastAsia="Times New Roman" w:hAnsi="Times New Roman"/>
          <w:sz w:val="17"/>
          <w:szCs w:val="17"/>
          <w:color w:val="auto"/>
        </w:rPr>
        <w:t>.” For example, our board of directors may propose such an amendment if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200" w:lineRule="exact"/>
        <w:rPr>
          <w:sz w:val="20"/>
          <w:szCs w:val="20"/>
          <w:color w:val="auto"/>
        </w:rPr>
      </w:pPr>
    </w:p>
    <w:p>
      <w:pPr>
        <w:spacing w:after="0" w:line="227" w:lineRule="exact"/>
        <w:rPr>
          <w:sz w:val="20"/>
          <w:szCs w:val="20"/>
          <w:color w:val="auto"/>
        </w:rPr>
      </w:pPr>
    </w:p>
    <w:p>
      <w:pPr>
        <w:ind w:left="4340"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if we wind up for any other reason prior to the consummation of our initial business combination, we will follow the</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40"/>
        <w:spacing w:after="0" w:line="266" w:lineRule="auto"/>
        <w:rPr>
          <w:sz w:val="20"/>
          <w:szCs w:val="20"/>
          <w:color w:val="auto"/>
        </w:rPr>
      </w:pPr>
      <w:r>
        <w:rPr>
          <w:rFonts w:ascii="Times New Roman" w:cs="Times New Roman" w:eastAsia="Times New Roman" w:hAnsi="Times New Roman"/>
          <w:sz w:val="18"/>
          <w:szCs w:val="18"/>
          <w:color w:val="auto"/>
        </w:rPr>
        <w:t>foregoing procedures with respect to the liquidation of the trust account as promptly as reasonably possible but not more than ten business days thereafter, subject to applicable Cayman Islands law.</w:t>
      </w:r>
    </w:p>
    <w:p>
      <w:pPr>
        <w:sectPr>
          <w:pgSz w:w="11900" w:h="16838" w:orient="portrait"/>
          <w:cols w:equalWidth="0" w:num="1">
            <w:col w:w="10900"/>
          </w:cols>
          <w:pgMar w:left="320" w:top="455" w:right="67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payments to insiders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will be no finder’s fees, reimbursements or cash payments 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the sale of the private placement warrants and the overfunding loans held in the trust account prior to the completion of our initial business combination:</w:t>
      </w:r>
    </w:p>
    <w:p>
      <w:pPr>
        <w:spacing w:after="0" w:line="9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520" w:right="340" w:hanging="179"/>
        <w:spacing w:after="0" w:line="282" w:lineRule="auto"/>
        <w:tabs>
          <w:tab w:leader="none" w:pos="4500" w:val="left"/>
        </w:tabs>
        <w:rPr>
          <w:sz w:val="20"/>
          <w:szCs w:val="20"/>
          <w:color w:val="auto"/>
        </w:rPr>
      </w:pPr>
      <w:r>
        <w:rPr>
          <w:rFonts w:ascii="Times New Roman" w:cs="Times New Roman" w:eastAsia="Times New Roman" w:hAnsi="Times New Roman"/>
          <w:sz w:val="18"/>
          <w:szCs w:val="18"/>
          <w:color w:val="auto"/>
        </w:rPr>
        <w:t>•</w:t>
        <w:tab/>
        <w:t>Repayment of up to an aggregate of $400,000 in loans made to us by our sponsor to cover offering-related and organizational expenses;</w:t>
      </w:r>
    </w:p>
    <w:p>
      <w:pPr>
        <w:spacing w:after="0" w:line="67" w:lineRule="exact"/>
        <w:rPr>
          <w:sz w:val="20"/>
          <w:szCs w:val="20"/>
          <w:color w:val="auto"/>
        </w:rPr>
      </w:pPr>
    </w:p>
    <w:p>
      <w:pPr>
        <w:jc w:val="both"/>
        <w:ind w:left="4520" w:right="600" w:hanging="179"/>
        <w:spacing w:after="0" w:line="289" w:lineRule="auto"/>
        <w:tabs>
          <w:tab w:leader="none" w:pos="4500" w:val="left"/>
        </w:tabs>
        <w:rPr>
          <w:sz w:val="20"/>
          <w:szCs w:val="20"/>
          <w:color w:val="auto"/>
        </w:rPr>
      </w:pPr>
      <w:r>
        <w:rPr>
          <w:rFonts w:ascii="Times New Roman" w:cs="Times New Roman" w:eastAsia="Times New Roman" w:hAnsi="Times New Roman"/>
          <w:sz w:val="17"/>
          <w:szCs w:val="17"/>
          <w:color w:val="auto"/>
        </w:rPr>
        <w:t>•</w:t>
        <w:tab/>
        <w:t>Affiliates of our sponsor will be entitled to reimbursement for any out-of-pocket expenses (or an allocable portion thereof), to the extent that such affiliates incur expenses for services provided to us before our initial business combination;</w:t>
      </w:r>
    </w:p>
    <w:p>
      <w:pPr>
        <w:spacing w:after="0" w:line="63" w:lineRule="exact"/>
        <w:rPr>
          <w:sz w:val="20"/>
          <w:szCs w:val="20"/>
          <w:color w:val="auto"/>
        </w:rPr>
      </w:pPr>
    </w:p>
    <w:p>
      <w:pPr>
        <w:ind w:left="4520" w:right="160" w:hanging="179"/>
        <w:spacing w:after="0" w:line="282" w:lineRule="auto"/>
        <w:tabs>
          <w:tab w:leader="none" w:pos="4500" w:val="left"/>
        </w:tabs>
        <w:rPr>
          <w:sz w:val="20"/>
          <w:szCs w:val="20"/>
          <w:color w:val="auto"/>
        </w:rPr>
      </w:pPr>
      <w:r>
        <w:rPr>
          <w:rFonts w:ascii="Times New Roman" w:cs="Times New Roman" w:eastAsia="Times New Roman" w:hAnsi="Times New Roman"/>
          <w:sz w:val="18"/>
          <w:szCs w:val="18"/>
          <w:color w:val="auto"/>
        </w:rPr>
        <w:t>•</w:t>
        <w:tab/>
        <w:t>Reimbursement for office space, secretarial and administrative services provided to us by an affiliate of our sponsor, in the amount of $16,667 per month;</w:t>
      </w:r>
    </w:p>
    <w:p>
      <w:pPr>
        <w:spacing w:after="0" w:line="67" w:lineRule="exact"/>
        <w:rPr>
          <w:sz w:val="20"/>
          <w:szCs w:val="20"/>
          <w:color w:val="auto"/>
        </w:rPr>
      </w:pPr>
    </w:p>
    <w:p>
      <w:pPr>
        <w:ind w:left="4520" w:right="340" w:hanging="179"/>
        <w:spacing w:after="0" w:line="282" w:lineRule="auto"/>
        <w:tabs>
          <w:tab w:leader="none" w:pos="4500" w:val="left"/>
        </w:tabs>
        <w:rPr>
          <w:sz w:val="20"/>
          <w:szCs w:val="20"/>
          <w:color w:val="auto"/>
        </w:rPr>
      </w:pPr>
      <w:r>
        <w:rPr>
          <w:rFonts w:ascii="Times New Roman" w:cs="Times New Roman" w:eastAsia="Times New Roman" w:hAnsi="Times New Roman"/>
          <w:sz w:val="18"/>
          <w:szCs w:val="18"/>
          <w:color w:val="auto"/>
        </w:rPr>
        <w:t>•</w:t>
        <w:tab/>
        <w:t>Reimbursement for any out-of-pocket expenses related to identifying, investigating, negotiating and completing an initial business combination;</w:t>
      </w:r>
    </w:p>
    <w:p>
      <w:pPr>
        <w:spacing w:after="0" w:line="67" w:lineRule="exact"/>
        <w:rPr>
          <w:sz w:val="20"/>
          <w:szCs w:val="20"/>
          <w:color w:val="auto"/>
        </w:rPr>
      </w:pPr>
    </w:p>
    <w:p>
      <w:pPr>
        <w:ind w:left="4520" w:hanging="179"/>
        <w:spacing w:after="0" w:line="255" w:lineRule="auto"/>
        <w:tabs>
          <w:tab w:leader="none" w:pos="4500" w:val="left"/>
        </w:tabs>
        <w:rPr>
          <w:sz w:val="20"/>
          <w:szCs w:val="20"/>
          <w:color w:val="auto"/>
        </w:rPr>
      </w:pPr>
      <w:r>
        <w:rPr>
          <w:rFonts w:ascii="Times New Roman" w:cs="Times New Roman" w:eastAsia="Times New Roman" w:hAnsi="Times New Roman"/>
          <w:sz w:val="18"/>
          <w:szCs w:val="18"/>
          <w:color w:val="auto"/>
        </w:rPr>
        <w:t>•</w:t>
        <w:tab/>
        <w:t>Repayment of the overfunding loans, which are non-interest bearing and unsecured loans in the amount of $1,000,000 (and up to an additional $150,000 if the underwriters’ over-allotment option is exercised in full) to be made to us by our sponsor simultaneously with the closing of this offering for the purpose of overfunding the trust account. The loan will be convertible into warrants of the post-business combination entity at a price of $1.00 per warrant or repaid in cash upon the closing of our initial business combination (or any combination thereof) at the option of our sponsor;</w:t>
      </w:r>
    </w:p>
    <w:p>
      <w:pPr>
        <w:sectPr>
          <w:pgSz w:w="11900" w:h="16838" w:orient="portrait"/>
          <w:cols w:equalWidth="0" w:num="1">
            <w:col w:w="10900"/>
          </w:cols>
          <w:pgMar w:left="320" w:top="455" w:right="679" w:bottom="1440" w:gutter="0" w:footer="0" w:header="0"/>
          <w:type w:val="continuous"/>
        </w:sectPr>
      </w:pPr>
    </w:p>
    <w:p>
      <w:pPr>
        <w:spacing w:after="0" w:line="94" w:lineRule="exact"/>
        <w:rPr>
          <w:sz w:val="20"/>
          <w:szCs w:val="20"/>
          <w:color w:val="auto"/>
        </w:rPr>
      </w:pPr>
    </w:p>
    <w:p>
      <w:pPr>
        <w:ind w:left="4340"/>
        <w:spacing w:after="0"/>
        <w:tabs>
          <w:tab w:leader="none" w:pos="10080" w:val="left"/>
        </w:tabs>
        <w:rPr>
          <w:sz w:val="20"/>
          <w:szCs w:val="20"/>
          <w:color w:val="auto"/>
        </w:rPr>
      </w:pPr>
      <w:r>
        <w:rPr>
          <w:rFonts w:ascii="Times New Roman" w:cs="Times New Roman" w:eastAsia="Times New Roman" w:hAnsi="Times New Roman"/>
          <w:sz w:val="18"/>
          <w:szCs w:val="18"/>
          <w:color w:val="auto"/>
        </w:rPr>
        <w:t>•  Repayment of extension loans in an amount up to an aggregate of $</w:t>
      </w:r>
      <w:r>
        <w:rPr>
          <w:sz w:val="20"/>
          <w:szCs w:val="20"/>
          <w:color w:val="auto"/>
        </w:rPr>
        <w:tab/>
      </w:r>
      <w:r>
        <w:rPr>
          <w:rFonts w:ascii="Times New Roman" w:cs="Times New Roman" w:eastAsia="Times New Roman" w:hAnsi="Times New Roman"/>
          <w:sz w:val="17"/>
          <w:szCs w:val="17"/>
          <w:color w:val="auto"/>
        </w:rPr>
        <w:t>(or up to</w:t>
      </w:r>
    </w:p>
    <w:p>
      <w:pPr>
        <w:spacing w:after="0" w:line="27" w:lineRule="exact"/>
        <w:rPr>
          <w:sz w:val="20"/>
          <w:szCs w:val="20"/>
          <w:color w:val="auto"/>
        </w:rPr>
      </w:pPr>
    </w:p>
    <w:p>
      <w:pPr>
        <w:ind w:left="4520" w:right="80"/>
        <w:spacing w:after="0" w:line="252" w:lineRule="auto"/>
        <w:rPr>
          <w:sz w:val="20"/>
          <w:szCs w:val="20"/>
          <w:color w:val="auto"/>
        </w:rPr>
      </w:pPr>
      <w:r>
        <w:rPr>
          <w:rFonts w:ascii="Times New Roman" w:cs="Times New Roman" w:eastAsia="Times New Roman" w:hAnsi="Times New Roman"/>
          <w:sz w:val="18"/>
          <w:szCs w:val="18"/>
          <w:color w:val="auto"/>
        </w:rPr>
        <w:t>$ if the underwriters’ over-allotment option is exercised in full) made by our sponsor or its affiliates or designees, if we extend the period of time to consummate an initial business combination by up to an additional four months. The loan will be convertible into warrants of the post-business combination entity at a price of $1.00 per warrant or repaid in cash upon the closing of our initial business combination (or any combination thereof) at the option of our sponsor;</w:t>
      </w:r>
    </w:p>
    <w:p>
      <w:pPr>
        <w:spacing w:after="0" w:line="216" w:lineRule="exact"/>
        <w:rPr>
          <w:sz w:val="20"/>
          <w:szCs w:val="20"/>
          <w:color w:val="auto"/>
        </w:rPr>
      </w:pPr>
    </w:p>
    <w:p>
      <w:pPr>
        <w:ind w:left="4520" w:right="40" w:hanging="185"/>
        <w:spacing w:after="0" w:line="266" w:lineRule="auto"/>
        <w:tabs>
          <w:tab w:leader="none" w:pos="4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sponsor or an affiliate of our sponsor or certain of our officers and directors to finance transaction costs in connection with an intended initial business combination. Up to $2,000,000 of such loans may be</w:t>
      </w: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00"/>
          </w:cols>
          <w:pgMar w:left="320" w:top="455" w:right="6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560" w:right="100"/>
        <w:spacing w:after="0" w:line="261" w:lineRule="auto"/>
        <w:rPr>
          <w:sz w:val="20"/>
          <w:szCs w:val="20"/>
          <w:color w:val="auto"/>
        </w:rPr>
      </w:pPr>
      <w:r>
        <w:rPr>
          <w:rFonts w:ascii="Times New Roman" w:cs="Times New Roman" w:eastAsia="Times New Roman" w:hAnsi="Times New Roman"/>
          <w:sz w:val="18"/>
          <w:szCs w:val="18"/>
          <w:color w:val="auto"/>
        </w:rPr>
        <w:t>convertible into warrants of the post business combination entity at a price of $1.00 per warrant at the option of the lender. The warrants would be identical to the private placement warrants. Except for the foregoing, the terms of such loans, if any, have not been determined and no written agreements exist with respect to such loans; and</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7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Payment of $</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 $</w:t>
            </w:r>
          </w:p>
        </w:tc>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if the underwriters’ over-allotment option is exercised</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in full) to Ares Management Capital Markets LLC, an affiliate of our sponsor, upon the</w:t>
            </w:r>
          </w:p>
        </w:tc>
      </w:tr>
      <w:tr>
        <w:trPr>
          <w:trHeight w:val="234"/>
        </w:trPr>
        <w:tc>
          <w:tcPr>
            <w:tcW w:w="2740" w:type="dxa"/>
            <w:vAlign w:val="bottom"/>
          </w:tcPr>
          <w:p>
            <w:pPr>
              <w:spacing w:after="0"/>
              <w:rPr>
                <w:sz w:val="20"/>
                <w:szCs w:val="20"/>
                <w:color w:val="auto"/>
              </w:rPr>
            </w:pPr>
          </w:p>
        </w:tc>
        <w:tc>
          <w:tcPr>
            <w:tcW w:w="790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closing of our initial business combination.</w:t>
            </w:r>
          </w:p>
        </w:tc>
      </w:tr>
      <w:tr>
        <w:trPr>
          <w:trHeight w:val="441"/>
        </w:trPr>
        <w:tc>
          <w:tcPr>
            <w:tcW w:w="2740" w:type="dxa"/>
            <w:vAlign w:val="bottom"/>
          </w:tcPr>
          <w:p>
            <w:pPr>
              <w:spacing w:after="0"/>
              <w:rPr>
                <w:sz w:val="24"/>
                <w:szCs w:val="24"/>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Any such payments will be made either (i) prior to our initial business combination using</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proceeds of this offering and the sale of the private placement warrants held outside the</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trust account or from loans made to us by our sponsor or (ii) in connection with or after the</w:t>
            </w:r>
          </w:p>
        </w:tc>
      </w:tr>
      <w:tr>
        <w:trPr>
          <w:trHeight w:val="234"/>
        </w:trPr>
        <w:tc>
          <w:tcPr>
            <w:tcW w:w="2740" w:type="dxa"/>
            <w:vAlign w:val="bottom"/>
          </w:tcPr>
          <w:p>
            <w:pPr>
              <w:spacing w:after="0"/>
              <w:rPr>
                <w:sz w:val="20"/>
                <w:szCs w:val="20"/>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consummation of our initial business combination.</w:t>
            </w:r>
          </w:p>
        </w:tc>
      </w:tr>
      <w:tr>
        <w:trPr>
          <w:trHeight w:val="44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may have additional, fiduciary and contractual duties to other entities, including without</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limitation, Ares, the Ares funds or their current or former portfolio companies and AAC.</w:t>
            </w:r>
          </w:p>
        </w:tc>
      </w:tr>
      <w:tr>
        <w:trPr>
          <w:trHeight w:val="216"/>
        </w:trPr>
        <w:tc>
          <w:tcPr>
            <w:tcW w:w="2740" w:type="dxa"/>
            <w:vAlign w:val="bottom"/>
          </w:tcPr>
          <w:p>
            <w:pPr>
              <w:spacing w:after="0"/>
              <w:rPr>
                <w:sz w:val="18"/>
                <w:szCs w:val="18"/>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w w:val="99"/>
              </w:rPr>
              <w:t>Certain of these entities may have overlapping investment objectives and potential conflicts</w:t>
            </w:r>
          </w:p>
        </w:tc>
      </w:tr>
      <w:tr>
        <w:trPr>
          <w:trHeight w:val="234"/>
        </w:trPr>
        <w:tc>
          <w:tcPr>
            <w:tcW w:w="2740" w:type="dxa"/>
            <w:vAlign w:val="bottom"/>
          </w:tcPr>
          <w:p>
            <w:pPr>
              <w:spacing w:after="0"/>
              <w:rPr>
                <w:sz w:val="20"/>
                <w:szCs w:val="20"/>
                <w:color w:val="auto"/>
              </w:rPr>
            </w:pPr>
          </w:p>
        </w:tc>
        <w:tc>
          <w:tcPr>
            <w:tcW w:w="790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w w:val="99"/>
              </w:rPr>
              <w:t>may arise with respect to Ares’ decision regarding how to allocate investment opportunities</w:t>
            </w:r>
          </w:p>
        </w:tc>
      </w:tr>
    </w:tbl>
    <w:p>
      <w:pPr>
        <w:ind w:left="4340"/>
        <w:spacing w:after="0" w:line="251" w:lineRule="auto"/>
        <w:rPr>
          <w:sz w:val="20"/>
          <w:szCs w:val="20"/>
          <w:color w:val="auto"/>
        </w:rPr>
      </w:pPr>
      <w:r>
        <w:rPr>
          <w:rFonts w:ascii="Times New Roman" w:cs="Times New Roman" w:eastAsia="Times New Roman" w:hAnsi="Times New Roman"/>
          <w:sz w:val="18"/>
          <w:szCs w:val="18"/>
          <w:color w:val="auto"/>
        </w:rPr>
        <w:t>among these entities. Accordingly,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217" w:lineRule="exact"/>
        <w:rPr>
          <w:sz w:val="20"/>
          <w:szCs w:val="20"/>
          <w:color w:val="auto"/>
        </w:rPr>
      </w:pPr>
    </w:p>
    <w:p>
      <w:pPr>
        <w:ind w:left="4340" w:right="40"/>
        <w:spacing w:after="0" w:line="266" w:lineRule="auto"/>
        <w:rPr>
          <w:sz w:val="20"/>
          <w:szCs w:val="20"/>
          <w:color w:val="auto"/>
        </w:rPr>
      </w:pPr>
      <w:r>
        <w:rPr>
          <w:rFonts w:ascii="Times New Roman" w:cs="Times New Roman" w:eastAsia="Times New Roman" w:hAnsi="Times New Roman"/>
          <w:sz w:val="18"/>
          <w:szCs w:val="18"/>
          <w:color w:val="auto"/>
        </w:rPr>
        <w:t>Our executive officers and our directors may have interests that differ from you in connection with the business combination, including the fact that they may lose their entire investment in us if our initial</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816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80"/>
        <w:spacing w:after="0" w:line="266" w:lineRule="auto"/>
        <w:rPr>
          <w:sz w:val="20"/>
          <w:szCs w:val="20"/>
          <w:color w:val="auto"/>
        </w:rPr>
      </w:pPr>
      <w:r>
        <w:rPr>
          <w:rFonts w:ascii="Times New Roman" w:cs="Times New Roman" w:eastAsia="Times New Roman" w:hAnsi="Times New Roman"/>
          <w:sz w:val="18"/>
          <w:szCs w:val="18"/>
          <w:color w:val="auto"/>
        </w:rPr>
        <w:t>business combination is not completed, and accordingly, may have a conflict of interest in determining whether a particular target business is an appropriate business with which to effectuate our initial business combination.</w:t>
      </w:r>
    </w:p>
    <w:p>
      <w:pPr>
        <w:spacing w:after="0" w:line="216" w:lineRule="exact"/>
        <w:rPr>
          <w:sz w:val="20"/>
          <w:szCs w:val="20"/>
          <w:color w:val="auto"/>
        </w:rPr>
      </w:pPr>
    </w:p>
    <w:p>
      <w:pPr>
        <w:ind w:left="4340" w:right="40"/>
        <w:spacing w:after="0" w:line="253" w:lineRule="auto"/>
        <w:rPr>
          <w:sz w:val="20"/>
          <w:szCs w:val="20"/>
          <w:color w:val="auto"/>
        </w:rPr>
      </w:pPr>
      <w:r>
        <w:rPr>
          <w:rFonts w:ascii="Times New Roman" w:cs="Times New Roman" w:eastAsia="Times New Roman" w:hAnsi="Times New Roman"/>
          <w:sz w:val="18"/>
          <w:szCs w:val="18"/>
          <w:color w:val="auto"/>
        </w:rPr>
        <w:t>Additionally, the personal and financial interests of our directors and executive officers may influence their motivation in timely identifying and pursuing an initial business combination or completing our initial business combination. The different timelines of competing business combinations could cause our directors and executive officers to prioritize a different business combination over finding a suitable acquisition target for our business combination. Consequently, our directors’ and executive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221" w:lineRule="exact"/>
        <w:rPr>
          <w:sz w:val="20"/>
          <w:szCs w:val="20"/>
          <w:color w:val="auto"/>
        </w:rPr>
      </w:pPr>
    </w:p>
    <w:p>
      <w:pPr>
        <w:ind w:left="4340"/>
        <w:spacing w:after="0" w:line="254" w:lineRule="auto"/>
        <w:rPr>
          <w:sz w:val="20"/>
          <w:szCs w:val="20"/>
          <w:color w:val="auto"/>
        </w:rPr>
      </w:pPr>
      <w:r>
        <w:rPr>
          <w:rFonts w:ascii="Times New Roman" w:cs="Times New Roman" w:eastAsia="Times New Roman" w:hAnsi="Times New Roman"/>
          <w:sz w:val="18"/>
          <w:szCs w:val="18"/>
          <w:color w:val="auto"/>
        </w:rPr>
        <w:t>In addition to the above, our officers and directors are not required to commit any specified amount of time to our affairs, and, accordingly, may have conflicts of interest in allocating management time among various business activities, including selecting a business combination target and monitoring the related due diligence. See “</w:t>
      </w:r>
      <w:r>
        <w:rPr>
          <w:rFonts w:ascii="Times New Roman" w:cs="Times New Roman" w:eastAsia="Times New Roman" w:hAnsi="Times New Roman"/>
          <w:sz w:val="18"/>
          <w:szCs w:val="18"/>
          <w:i w:val="1"/>
          <w:iCs w:val="1"/>
          <w:color w:val="auto"/>
        </w:rPr>
        <w:t>Risk Factors—Our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directors may allocate their time to other businesses thereby causing conflicts of interest in their determination as to how much time to devote to our affairs. This conflict of interest could have a negative impact on our ability to complete our initial business combination</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4340"/>
        <w:spacing w:after="0" w:line="268" w:lineRule="auto"/>
        <w:rPr>
          <w:sz w:val="20"/>
          <w:szCs w:val="20"/>
          <w:color w:val="auto"/>
        </w:rPr>
      </w:pPr>
      <w:r>
        <w:rPr>
          <w:rFonts w:ascii="Times New Roman" w:cs="Times New Roman" w:eastAsia="Times New Roman" w:hAnsi="Times New Roman"/>
          <w:sz w:val="17"/>
          <w:szCs w:val="17"/>
          <w:color w:val="auto"/>
        </w:rPr>
        <w:t>Additionally, our sponsor and executive officers and directors have agreed to waive their redemption rights with respect to any founder shares and any public shares held by them in connection with the consummation of our initial business combination. Further, our sponsor and executive officers and directors have agreed to waive their redemption rights with respect to any founder shares held by them if we fail to consummate our initial business combination within 20 months, or such earlier date as our board of directors may approve, after the closing of this offering (or up to 24 months from the closing of this offering if we extend the period of time to consummate a business combination). If we do not complete our initial business combination within such applicable time period, the proceeds of the sale of the private placement warrants held in the trust account will be used to fund the redemption of our public shares, and the private placement warrants may expire worthless. With certain limited exceptions, the founder shares will not be transferable, assignable or salable by our sponsor or its permitted transferees until one year after the completion of our initial business combination. With certain limited exceptions, the private placement warrants and the Class A ordinary shares underlying such warrants, will not be transferable, assignable or salable by our sponsor or its permitted transferees until</w:t>
      </w:r>
    </w:p>
    <w:p>
      <w:pPr>
        <w:spacing w:after="0" w:line="2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320" w:top="455"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800" w:type="dxa"/>
            <w:vAlign w:val="bottom"/>
            <w:tcBorders>
              <w:top w:val="single" w:sz="8" w:color="auto"/>
              <w:left w:val="single" w:sz="8" w:color="auto"/>
            </w:tcBorders>
          </w:tcPr>
          <w:p>
            <w:pPr>
              <w:spacing w:after="0"/>
              <w:rPr>
                <w:sz w:val="24"/>
                <w:szCs w:val="24"/>
                <w:color w:val="auto"/>
              </w:rPr>
            </w:pP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30 days after the completion of our initial business combination. Since our sponsor and</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executive officers and directors may directly or indirectly own ordinary shares and</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warrants following this offering, our executive officers and directors may have a conflict of</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interest in determining whether a particular target business is an appropriate business with</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which to effectuate our initial business combination because of their financial interest in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completing an initial business combination within 20 months, or such earlier date as our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board of directors may approve, after the closing of this offering (or up to 24 months from</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closing of this offering if we extend the period of time to consummate a business</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combination).</w:t>
            </w:r>
          </w:p>
        </w:tc>
      </w:tr>
      <w:tr>
        <w:trPr>
          <w:trHeight w:val="454"/>
        </w:trPr>
        <w:tc>
          <w:tcPr>
            <w:tcW w:w="2800" w:type="dxa"/>
            <w:vAlign w:val="bottom"/>
            <w:tcBorders>
              <w:left w:val="single" w:sz="8" w:color="auto"/>
            </w:tcBorders>
          </w:tcPr>
          <w:p>
            <w:pPr>
              <w:spacing w:after="0"/>
              <w:rPr>
                <w:sz w:val="24"/>
                <w:szCs w:val="24"/>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 addition, our directors and officers or Ares or its affiliates, including the Ares funds,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currently sponsor and may sponsor, form or participate in other blank check companies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similar to ours during the period in which we are seeking an initial business combination.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Any such companies may present additional conflicts of interest in pursuing an acquisition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target, particularly in the event there is overlap among investment mandates and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director and officer teams. In addition, Ares has sponsored other blank check companies in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past and may sponsor other blank check companies similar to ours during the period in</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which we are seeking an initial business combination, and members of our management</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team may participate in such blank check companies. In particular, an affiliate of Ares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formed, and such affiliate, Mr. Kaplan, Mr. Arougheti, Mr. Phillips, Ms. Satin and</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Mr. Ogilvie are actively engaged in, AAC, a special purpose acquisition company that</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completed its initial public offering in February 2021 and entered into a business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combination agreement on December 5, 2022. AAC, like us, may pursue initial business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combination targets in any businesses or industries and has until August 2023 to do so.</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Any such blank check company, including AAC if its announced business combination is</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not completed, may present additional conflicts of interest in pursuing an acquisition target,</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particularly if there is overlap among investment mandates and the board and management</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teams. However, we do not currently expect that any such other blank check company</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would materially affect our ability to complete our initial business combination.</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our board of directors will establish and maintain an audit committee composed entirely of</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independent directors. Among its responsibilities, the audit committee will review on a</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quarterly basis all payments that were made to our sponsor, officers or directors, or our or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their affiliates and monitor compliance with the other terms relating to this offering. If any</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noncompliance is identified, then the audit committee will be charged with the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responsibility to promptly take all action necessary to rectify such noncompliance or</w:t>
            </w:r>
          </w:p>
        </w:tc>
      </w:tr>
      <w:tr>
        <w:trPr>
          <w:trHeight w:val="214"/>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otherwise to cause compliance with the terms of this offering. For more information, see</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Management—Committees of the Board of Directors—Audit</w:t>
            </w:r>
          </w:p>
        </w:tc>
      </w:tr>
      <w:tr>
        <w:trPr>
          <w:trHeight w:val="236"/>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tc>
      </w:tr>
      <w:tr>
        <w:trPr>
          <w:trHeight w:val="159"/>
        </w:trPr>
        <w:tc>
          <w:tcPr>
            <w:tcW w:w="2800" w:type="dxa"/>
            <w:vAlign w:val="bottom"/>
            <w:tcBorders>
              <w:left w:val="single" w:sz="8" w:color="auto"/>
              <w:bottom w:val="single" w:sz="8" w:color="auto"/>
            </w:tcBorders>
          </w:tcPr>
          <w:p>
            <w:pPr>
              <w:spacing w:after="0"/>
              <w:rPr>
                <w:sz w:val="13"/>
                <w:szCs w:val="13"/>
                <w:color w:val="auto"/>
              </w:rPr>
            </w:pPr>
          </w:p>
        </w:tc>
        <w:tc>
          <w:tcPr>
            <w:tcW w:w="8220" w:type="dxa"/>
            <w:vAlign w:val="bottom"/>
            <w:tcBorders>
              <w:bottom w:val="single" w:sz="8" w:color="auto"/>
              <w:right w:val="single" w:sz="8" w:color="auto"/>
            </w:tcBorders>
          </w:tcPr>
          <w:p>
            <w:pPr>
              <w:spacing w:after="0"/>
              <w:rPr>
                <w:sz w:val="13"/>
                <w:szCs w:val="13"/>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36</w:t>
            </w: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619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Indemnity in the event of liquidation without a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Our sponsor has agreed that in the event of a liquidation of the trust account if the company fails to consummate an initial business combination,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or any claim by a taxing authority, reduce the amount of funds in the trust account to below the lesser of (i) $10.10 per public share and (ii) the actual amount per public share held in the trust account as of the date of the liquidation of the trust account, if less than $10.10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ectPr>
          <w:pgSz w:w="11900" w:h="16838" w:orient="portrait"/>
          <w:cols w:equalWidth="0" w:num="2">
            <w:col w:w="3660" w:space="680"/>
            <w:col w:w="6800"/>
          </w:cols>
          <w:pgMar w:left="320" w:top="455" w:right="439" w:bottom="1440" w:gutter="0" w:footer="0" w:header="0"/>
          <w:type w:val="continuous"/>
        </w:sectPr>
      </w:pP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Engagement of Advisor</w:t>
            </w: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We will engage Ares Management Capital Markets LLC, an affiliate of our sponsor, to</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provide consulting and advisory services to us in connection with this offering, for which it</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will receive an advisory fee equal to   % of the aggregate net proceeds of this offering</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(including the proceeds of the exercise of the over-allotment option, if any), excluding</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underwriting compensation. We will also engage Ares Management Capital Markets LLC</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as an advisor in connection with our initial business combination for which it will earn an</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advisory fee of   % of the proceeds of this offering (including the proceeds of the exercise</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of the overallotment option, if any) payable at closing of our initial business combination.</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Ares Management Capital Markets LLC’s fee will be reimbursed from a portion of the cash</w:t>
            </w:r>
          </w:p>
        </w:tc>
      </w:tr>
      <w:tr>
        <w:trPr>
          <w:trHeight w:val="234"/>
        </w:trPr>
        <w:tc>
          <w:tcPr>
            <w:tcW w:w="3060" w:type="dxa"/>
            <w:vAlign w:val="bottom"/>
          </w:tcPr>
          <w:p>
            <w:pPr>
              <w:spacing w:after="0"/>
              <w:rPr>
                <w:sz w:val="20"/>
                <w:szCs w:val="20"/>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fees paid to the underwriters.</w:t>
            </w:r>
          </w:p>
        </w:tc>
      </w:tr>
      <w:tr>
        <w:trPr>
          <w:trHeight w:val="441"/>
        </w:trPr>
        <w:tc>
          <w:tcPr>
            <w:tcW w:w="3060" w:type="dxa"/>
            <w:vAlign w:val="bottom"/>
          </w:tcPr>
          <w:p>
            <w:pPr>
              <w:spacing w:after="0"/>
              <w:rPr>
                <w:sz w:val="24"/>
                <w:szCs w:val="24"/>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Ares Management Capital Markets LLC will be engaged to represent our interests only and</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is not participating in this offering as defined in FINRA Rule 5110(j)(16). Ares</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Management Capital Markets LLC is acting as an independent financial adviser as defined</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 FINRA Rule 5110(j)(9). As such, Ares Management Capital Markets LLC is not acting</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as an underwriter in connection with this offering. Ares Management Capital Markets LLC</w:t>
            </w:r>
          </w:p>
        </w:tc>
      </w:tr>
      <w:tr>
        <w:trPr>
          <w:trHeight w:val="216"/>
        </w:trPr>
        <w:tc>
          <w:tcPr>
            <w:tcW w:w="3060" w:type="dxa"/>
            <w:vAlign w:val="bottom"/>
          </w:tcPr>
          <w:p>
            <w:pPr>
              <w:spacing w:after="0"/>
              <w:rPr>
                <w:sz w:val="18"/>
                <w:szCs w:val="18"/>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will not identify or solicit potential investors in this offering or otherwise be involved in the</w:t>
            </w:r>
          </w:p>
        </w:tc>
      </w:tr>
      <w:tr>
        <w:trPr>
          <w:trHeight w:val="234"/>
        </w:trPr>
        <w:tc>
          <w:tcPr>
            <w:tcW w:w="3060" w:type="dxa"/>
            <w:vAlign w:val="bottom"/>
          </w:tcPr>
          <w:p>
            <w:pPr>
              <w:spacing w:after="0"/>
              <w:rPr>
                <w:sz w:val="20"/>
                <w:szCs w:val="20"/>
                <w:color w:val="auto"/>
              </w:rPr>
            </w:pPr>
          </w:p>
        </w:tc>
        <w:tc>
          <w:tcPr>
            <w:tcW w:w="79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distribution of this offering.</w:t>
            </w:r>
          </w:p>
        </w:tc>
      </w:tr>
      <w:tr>
        <w:trPr>
          <w:trHeight w:val="159"/>
        </w:trPr>
        <w:tc>
          <w:tcPr>
            <w:tcW w:w="306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13"/>
                <w:szCs w:val="13"/>
                <w:color w:val="auto"/>
              </w:rPr>
            </w:pPr>
          </w:p>
        </w:tc>
      </w:tr>
      <w:tr>
        <w:trPr>
          <w:trHeight w:val="361"/>
        </w:trPr>
        <w:tc>
          <w:tcPr>
            <w:tcW w:w="3060" w:type="dxa"/>
            <w:vAlign w:val="bottom"/>
          </w:tcPr>
          <w:p>
            <w:pPr>
              <w:spacing w:after="0"/>
              <w:rPr>
                <w:sz w:val="24"/>
                <w:szCs w:val="24"/>
                <w:color w:val="auto"/>
              </w:rPr>
            </w:pPr>
          </w:p>
        </w:tc>
        <w:tc>
          <w:tcPr>
            <w:tcW w:w="79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140"/>
          </w:cols>
          <w:pgMar w:left="320" w:top="455"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22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We are a recently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Business—Comparison of This Offering to Those of Blank Check Companies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 419</w:t>
      </w:r>
      <w:r>
        <w:rPr>
          <w:rFonts w:ascii="Times New Roman" w:cs="Times New Roman" w:eastAsia="Times New Roman" w:hAnsi="Times New Roman"/>
          <w:sz w:val="18"/>
          <w:szCs w:val="18"/>
          <w:color w:val="auto"/>
        </w:rPr>
        <w:t>.” You should carefully consider these and the other risks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w:t>
      </w: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85" w:lineRule="exact"/>
        <w:rPr>
          <w:sz w:val="20"/>
          <w:szCs w:val="20"/>
          <w:color w:val="auto"/>
        </w:rPr>
      </w:pPr>
    </w:p>
    <w:p>
      <w:pPr>
        <w:ind w:left="1240" w:right="1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recently incorporated company with no operating history and no revenues, and you have no basis on which to evaluate our ability to achieve our business objective.</w:t>
      </w:r>
    </w:p>
    <w:p>
      <w:pPr>
        <w:spacing w:after="0" w:line="67"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performance by Ares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81"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only opportunity to affect the decision regarding a potential business combination may be limited to the exercise of your right to redeem your shares from us for cash if, we do not seek stockholder approval of such business combination.</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of our public shareholders may make our financial condition unattractive to potential business combination targets and may make it difficult for us to enter into a business combination with a target.</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and the amount of deferred underwriting commissions may not allow us to complete the most desirable business combination or optimize our capital structure, and may substantially dilute your investment in us.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consummate an initial business combination within 20 months, or such earlier date as our board of directors may approve, from the closing of this offering (or up to 24 months from</w:t>
      </w:r>
    </w:p>
    <w:p>
      <w:pPr>
        <w:spacing w:after="0" w:line="27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60"/>
          </w:cols>
          <w:pgMar w:left="320" w:top="455" w:right="7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20"/>
        <w:spacing w:after="0" w:line="261" w:lineRule="auto"/>
        <w:rPr>
          <w:sz w:val="20"/>
          <w:szCs w:val="20"/>
          <w:color w:val="auto"/>
        </w:rPr>
      </w:pPr>
      <w:r>
        <w:rPr>
          <w:rFonts w:ascii="Times New Roman" w:cs="Times New Roman" w:eastAsia="Times New Roman" w:hAnsi="Times New Roman"/>
          <w:sz w:val="18"/>
          <w:szCs w:val="18"/>
          <w:color w:val="auto"/>
        </w:rPr>
        <w:t>the closing of this offering if we extend the period of time to consummate a business combination) may give potential target businesses leverage over us in negotiating a business combination transaction agreement as we approach our dissolution deadline, which could undermine our ability to complete our initial business combination on terms that would produce value for our shareholders.</w:t>
      </w:r>
    </w:p>
    <w:p>
      <w:pPr>
        <w:spacing w:after="0" w:line="85" w:lineRule="exact"/>
        <w:rPr>
          <w:sz w:val="20"/>
          <w:szCs w:val="20"/>
          <w:color w:val="auto"/>
        </w:rPr>
      </w:pPr>
    </w:p>
    <w:p>
      <w:pPr>
        <w:ind w:left="1240" w:right="10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an initial business combination within 20 months, or such earlier date as our board of directors may approve, from the closing of this offering (or up to 24 months from the closing of this offering if we extend the period of time to consummate a business combination), in which case we would redeem our public shares.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not to extend the term we have to consummate our initial business combination, in which case we would redeem our public shares, and the warrants may be worthless.</w:t>
      </w:r>
    </w:p>
    <w:p>
      <w:pPr>
        <w:spacing w:after="0" w:line="67" w:lineRule="exact"/>
        <w:rPr>
          <w:rFonts w:ascii="Times New Roman" w:cs="Times New Roman" w:eastAsia="Times New Roman" w:hAnsi="Times New Roman"/>
          <w:sz w:val="18"/>
          <w:szCs w:val="18"/>
          <w:color w:val="auto"/>
        </w:rPr>
      </w:pPr>
    </w:p>
    <w:p>
      <w:pPr>
        <w:ind w:left="1240" w:right="46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our sponsor, directors, executive officers, advisors and their affiliates may elect to purchase public shares or warrants from public shareholders, which may reduce the public “float” of our Class A ordinary shares or warrants.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may delist our securities from trading on its exchange, which could limit investors’ ability to make transactions in our securities and subject us to additional trading restrictions.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entitled to protections normally afforded to investors of many other blank check companies.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pursuant to the tender offer rules, you will lose the ability to require us to redeem all such shares in excess of 15% of our Class A ordinary shares held by you and any other person with who is deemed to be acting in concert or as a “group” with you.</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search for a business combination, and any target business with which we ultimately consummate a business combination, may be materially adversely affected by the coronavirus (COVID-19) outbreak and the status of debt and equity markets.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5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our limited resources and the significant competition for business combination opportunities, including competition from AAC if AAC does not consummate its announced business combination, we may be unable to complete our initial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receive only their pro rata portion of the funds in the trust account that are available for distribution to public shareholders, and our warrants may expire worthless.</w:t>
      </w:r>
    </w:p>
    <w:p>
      <w:pPr>
        <w:spacing w:after="0" w:line="92"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net proceeds of this offering and the sale of the private placement warrants not being held in the trust account are insufficient for us to operate for at least the next 20 months (or up to 24 months from the closing of this offering if we extend the period of time to consummate a business combination), we will depend on loans from our sponsor or directors and executive officers to fund our search and to complete our initial business combination.</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20"/>
          </w:cols>
          <w:pgMar w:left="320" w:top="455"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052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8970" cy="2052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incorporated under the laws of the Cayman Islands, you may face difficulties in protecting your interests, and your ability to protect your rights through the U.S. federal courts may be limited.</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1" w:lineRule="exact"/>
        <w:rPr>
          <w:rFonts w:ascii="Times New Roman" w:cs="Times New Roman" w:eastAsia="Times New Roman" w:hAnsi="Times New Roman"/>
          <w:sz w:val="18"/>
          <w:szCs w:val="18"/>
          <w:color w:val="auto"/>
        </w:rPr>
      </w:pPr>
    </w:p>
    <w:p>
      <w:pPr>
        <w:jc w:val="both"/>
        <w:ind w:left="1240" w:right="180" w:hanging="415"/>
        <w:spacing w:after="0" w:line="266"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potentially resulting in more competition for attractive targets. This could increase the cost of our initial business combination and could even result in our inability to find a target or to consummate an initial business combination.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discussed in “Risk Factors” and elsewhere in this prospectus.</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40"/>
          </w:cols>
          <w:pgMar w:left="320" w:top="455" w:right="7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Initial Business Combination</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may choose not to hold a shareholder vote before we complete our initial business combination if the business combination would not require shareholder approval under applicable law or stock exchange listing requirements. For instance, if we were seeking to acquire a target business where the consideration we were paying in the transaction was all cash, we would not be required to seek shareholder approval to complete such a transaction. Except for as required by applicable law or stock exchange listing requirements,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issued and outstanding ordinary shares do not approve of the business combination we complete.</w:t>
      </w:r>
    </w:p>
    <w:p>
      <w:pPr>
        <w:spacing w:after="0" w:line="190"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Proposed Business—Shareholders May Not Have the Ability to Approve Our Initial Business Combination</w:t>
      </w:r>
      <w:r>
        <w:rPr>
          <w:rFonts w:ascii="Times New Roman" w:cs="Times New Roman" w:eastAsia="Times New Roman" w:hAnsi="Times New Roman"/>
          <w:sz w:val="18"/>
          <w:szCs w:val="18"/>
          <w:color w:val="auto"/>
        </w:rPr>
        <w:t>” for additional information.</w:t>
      </w:r>
    </w:p>
    <w:p>
      <w:pPr>
        <w:spacing w:after="0" w:line="26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decision regarding a potential business combination may be limited to the exercise of your right to require us to redeem your shares for cash if we do not seek shareholder approval of such business combination.</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and executive officers have agreed to vote in favor of such initial business combination, regardless of how our public shareholders vote.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sponsor, directors and executive officers have agreed (and their permitted transferees will agree) to vote any founder shares and any public shares held by them in favor of our initial business combination. Our sponsor and our directors and executive officers also may from time to time purchase Class A ordinary shares prior to our initial business combination. Our amended and restated memorandum and articles of association will provide that,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this case, our sponsor and each of our directors and executive officers have agreed to vote their founder shares and any public shares purchased during or after this offering in favor of our initial business combination.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As a result, if approved as an ordinary resolution, in addition to our sponsor’s founder shares, we would need 3,750,001 or 37.5% (assuming all outstanding shares are voted), or 625,001 or 6.25% (assuming only the minimum number of shares representing a quorum are voted), of the 10,000,000 public shares sold in this offering to be voted in favor of an initial business combination in order to have our initial business combination approved. We expect that our sponsor and its permitted transferees will own at least 20% of our outstanding ordinary shares at the time of any such shareholder vote. Accordingly, if we seek shareholder approval of our initial business combination, the agreement by our sponsor and each of our directors and executive officers (and their respective permitted transferees) to vote in favor of our initial business combination will increase the likelihood that we will receive the requisite shareholder approval for such initial business combination.</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redemption rights of our public shareholders may make our financial condition unattractive to potential business combination targets and may make it difficult for us to enter into a business combination with a target.</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seek to enter into a business combination transaction agreement that requires we have a certain amount of cash as a closing condition. If holders of a substantial portion of our public shares exercise their redemption rights, we may not be able to meet such closing condition and, as a result, may not be able to proceed with the business combination. Consequently, if accepting all properly submitted redemption requests would not allow us to satisfy a closing condition as described above, we may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91"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shareholders to exercise redemption rights with respect to a significant portion of our shares and the amount of deferred underwriting commissions may not allow us to complete the most desirable business combination or optimize our capital structure, and may substantially dilute your investment in us.</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At the time we enter into a business combination transaction agreement, we will not know how many shareholders may exercise their redemption rights, and therefore will need to structure the transaction based on our expectations as to the number of shares that will be submitted for redemption. If the business combination transaction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 than we initially expect,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These considerations may limit our ability to complete the most attractive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As a result, our obligations to redeem public shares for which redemption is requested and to pay the deferred underwriting commissions may not allow us to complete the most desirable business combination or optimize our capital structure.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raising additional third-party financing may involve dilutive equity issuances or the incurrence of indebtedness at higher than desirable levels. Furthermore, this dilution would increase to the extent that the anti-dilution provisions of the Class B ordinary shares result in the issuance of Class A ordinary shares on a greater than one-to-one basis upon conversion of the Class B ordinary shares at the time of our business combination. The above considerations may limit our ability to complete the most desirable business combination available to us or optimize our capital structure and may result in substantial dilution from your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purchase of our Class A ordinary shares. The effect of this dilution will be greater for shareholders who do not redeem. The amount of the deferred underwriting commissions payable to the underwriters will not be adjusted for any shares that are redeemed in connection with an initial business combination, which may further dilute your investment.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 We may not be able to generate sufficient value from the completion of our initial business combination in order to overcome the dilutive impact of these and other factors, and, accordingly, you may incur a net loss on your investment. Please see “—</w:t>
      </w:r>
      <w:r>
        <w:rPr>
          <w:rFonts w:ascii="Times New Roman" w:cs="Times New Roman" w:eastAsia="Times New Roman" w:hAnsi="Times New Roman"/>
          <w:sz w:val="18"/>
          <w:szCs w:val="18"/>
          <w:i w:val="1"/>
          <w:iCs w:val="1"/>
          <w:color w:val="auto"/>
        </w:rPr>
        <w:t>Risks Relating to Ownership of Our Securities—Our sponsor paid a nominal price for the founder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accordingly, you will experience immediate and substantial dilution from the purchase of our Class A ordinary shares.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shareholders to exercise redemption rights with respect to a significant portion of our shares could increase the probability that our initial business combination is unsuccessful and that you would have to wait for liquidation for your shares to be redeemed.</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our business combination transaction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the redemption until we liquidate or you are able to sell your shares in the open market.</w:t>
      </w:r>
    </w:p>
    <w:p>
      <w:pPr>
        <w:spacing w:after="0" w:line="291"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we consummate an initial business combination within 20 months, or such earlier date as our board of directors may approve, from the closing of this offering (or up to 24 months from the closing of this offering if we extend the period of time to consummate a business combination) may give potential target businesses leverage over us in negotiating a business combination transaction agreement as we approach our dissolution deadline, which could undermine our ability to complete our initial business combination on terms that would produce value for our shareholders.</w:t>
      </w:r>
    </w:p>
    <w:p>
      <w:pPr>
        <w:spacing w:after="0" w:line="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a business combination will be aware that we must consummate an initial business combination within 20 months, or such earlier date as our board of directors may approve, from the closing of this offering (or up to 24 months from the closing of this offering if we extend the period of time to consummate a business combination). Consequently, such target business may obtain leverage over us in negotiating a business combination transaction agreement, knowing that if we do not consummate an initial business combination with that particular target business, we may be unable to complete our initial business combination with any target business. This risk will increase as we get closer to the time frame described above.</w:t>
      </w:r>
    </w:p>
    <w:p>
      <w:pPr>
        <w:spacing w:after="0" w:line="291"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an initial business combination within 20 months, or such earlier date as our board of directors may approve, from the closing of this offering (or up to 24 months from the closing of this offering if we extend the period of time to consummate a business combination), in which case we would redeem our public shares.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find a suitable target business and consummate an initial business combination within 20 months, or such earlier date as our board of directors may approve, from the closing of this offering (or up to 24 months from the closing of this offering if we extend the period of time to consummate a business combination). Our ability to complete our initial business combination may be negatively impacted by general market conditions, volatility in the capital and debt markets and the other risks described herein, including as a result of terrorist attacks, natural disasters or a significant outbreak of infectious diseases. For example,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outbreak of COVID-19 continues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and other events (such as terrorist attacks, natural disasters or a significant outbreak of other infectious diseases) may negatively impact businesses we may seek to acquire. If we have not consummated an initial business combination within such applicable time period, we will as promptly as reasonably possible but not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$10.10 per public share, or less than $10.10 per public share, on the redemption of their shares, and our warrants may expire worthless. See “</w:t>
      </w:r>
      <w:r>
        <w:rPr>
          <w:rFonts w:ascii="Times New Roman" w:cs="Times New Roman" w:eastAsia="Times New Roman" w:hAnsi="Times New Roman"/>
          <w:sz w:val="18"/>
          <w:szCs w:val="18"/>
          <w:i w:val="1"/>
          <w:iCs w:val="1"/>
          <w:color w:val="auto"/>
        </w:rPr>
        <w:t>—If third parties bring claims against us, the proceeds held in the trust account could be reduced and the per-share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amount received by shareholders may be less than $10.10 per public share</w:t>
      </w:r>
      <w:r>
        <w:rPr>
          <w:rFonts w:ascii="Times New Roman" w:cs="Times New Roman" w:eastAsia="Times New Roman" w:hAnsi="Times New Roman"/>
          <w:sz w:val="18"/>
          <w:szCs w:val="18"/>
          <w:color w:val="auto"/>
        </w:rPr>
        <w:t>” and other risk factors herein.</w:t>
      </w:r>
    </w:p>
    <w:p>
      <w:pPr>
        <w:spacing w:after="0" w:line="30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may decide not to extend the term we have to consummate our initial business combination, in which case we would redeem our public shares, and the warrants may be worthless.</w:t>
      </w:r>
    </w:p>
    <w:p>
      <w:pPr>
        <w:spacing w:after="0" w:line="5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 to an aggregate of</w:t>
      </w:r>
    </w:p>
    <w:p>
      <w:pPr>
        <w:ind w:left="120"/>
        <w:spacing w:after="0"/>
        <w:tabs>
          <w:tab w:leader="none" w:pos="6340" w:val="left"/>
          <w:tab w:leader="none" w:pos="7300" w:val="left"/>
        </w:tabs>
        <w:rPr>
          <w:sz w:val="20"/>
          <w:szCs w:val="20"/>
          <w:color w:val="auto"/>
        </w:rPr>
      </w:pPr>
      <w:r>
        <w:rPr>
          <w:rFonts w:ascii="Times New Roman" w:cs="Times New Roman" w:eastAsia="Times New Roman" w:hAnsi="Times New Roman"/>
          <w:sz w:val="18"/>
          <w:szCs w:val="18"/>
          <w:color w:val="auto"/>
        </w:rPr>
        <w:t>24 months, by depositing into the trust account for 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7"/>
          <w:szCs w:val="17"/>
          <w:color w:val="auto"/>
        </w:rPr>
        <w:t>if the underwriters’ over-allotment option is</w:t>
      </w:r>
    </w:p>
    <w:p>
      <w:pPr>
        <w:spacing w:after="0" w:line="9"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exercised in full ($0. per public share in either case). In this case, shareholders will not be offered an opportunity to vote on an extension and holders of Class A ordinary shares will not be offered an opportunity to redeem their shares.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 Contributor will contribute to us, as a loan upon five days’ advance notice prior the end of each applicable deadline, the deposit for each two-month period. In the event the company intends to effect an extension, we will issue a press release 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the applicable time period, we will, as promptly as reasonably possible but not more than ten business days thereafter, redeem the public shares for a pro rata portion of the funds held in the trust account, subject to our obligations under Cayman Islands law to provide for claims of creditors and the requirements of other applicable law. In such event, the warrants may be worthless.</w:t>
      </w:r>
    </w:p>
    <w:p>
      <w:pPr>
        <w:spacing w:after="0" w:line="284"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reduce the public “float” of our Class A ordinary shares or warrants.</w:t>
      </w:r>
    </w:p>
    <w:p>
      <w:pPr>
        <w:spacing w:after="0" w:line="67"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where otherwise permissible under applicable law, rules and regulations. However, they have no current commitments, plans or intentions to engage in such transactions and have not formulated any terms or conditions for any such transactions. If our sponsor, directors, executive officers, advisors or their affiliate purchase public shares or warrants in such transactions, none of the funds in the trust account will be used to purchase such shares or warrants.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 our sponsor, directors, executive officers, advisors or their affiliates purchase shares or warrants in privately negotiated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from public shareholders who have already elected to exercise their redemption rights, such selling shareholders would be required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revoke their prior elections to redeem their shares. In addition, any such purchases of shares or warrants would reduce the number of shares and public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warrants held by non-affiliates and reduce the number of holders eligible to vote such shares or warrants on any matters submitted to the holders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for approval in connection with our initial business combination or may affect our ability to satisfy certain customary closing conditions in 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with a target that requires us to have a certain amount of cash at the closing of our initial business combination. Any such purchases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may result in the completion of our initial business combination that may not otherwise have been possible. Any such purchases will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reported pursuant to Section 13 and Section 16 of the Exchange Act to the extent such purchasers are subject to such reporting requirements. See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Proposed Business—Permitted Purchases of Our Securities</w:t>
      </w:r>
      <w:r>
        <w:rPr>
          <w:rFonts w:ascii="Times New Roman" w:cs="Times New Roman" w:eastAsia="Times New Roman" w:hAnsi="Times New Roman"/>
          <w:sz w:val="18"/>
          <w:szCs w:val="18"/>
          <w:color w:val="auto"/>
        </w:rPr>
        <w:t>” for a description of how our sponsor, directors, executive officers, advisors or any of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affiliates will select which shareholders to purchase securities from in any private transaction.</w:t>
      </w:r>
    </w:p>
    <w:p>
      <w:pPr>
        <w:spacing w:after="0" w:line="20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ordinary shares or warrants and the number of beneficial holders of our securities may be reduced, possibly making it difficult to maintain or obtain the quotation, listing or trading of our securities on a national securities exchange.</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w:t>
      </w:r>
      <w:r>
        <w:rPr>
          <w:rFonts w:ascii="Times New Roman" w:cs="Times New Roman" w:eastAsia="Times New Roman" w:hAnsi="Times New Roman"/>
          <w:sz w:val="17"/>
          <w:szCs w:val="17"/>
          <w:i w:val="1"/>
          <w:iCs w:val="1"/>
          <w:color w:val="auto"/>
        </w:rPr>
        <w:t>Proposed Business—Business Strategy—Tendering Share Certificates in Connection with a Tender Offer or Redemption Rights</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seek shareholder approval of our initial business combination and we do not conduct redemptions pursuant to the tender offer rules, you will lose the ability to require us to redeem all such shares in excess of 15% of our Class A ordinary shares held by you and any other person with who is deemed to be acting in concert or as a “group” with you.</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with respect to more than an aggregate of 15% of the shares sold in this offering without our prior consent, which we refer to as the “</w:t>
      </w:r>
      <w:r>
        <w:rPr>
          <w:rFonts w:ascii="Times New Roman" w:cs="Times New Roman" w:eastAsia="Times New Roman" w:hAnsi="Times New Roman"/>
          <w:sz w:val="18"/>
          <w:szCs w:val="18"/>
          <w:i w:val="1"/>
          <w:iCs w:val="1"/>
          <w:color w:val="auto"/>
        </w:rPr>
        <w:t>Excess Shares</w:t>
      </w:r>
      <w:r>
        <w:rPr>
          <w:rFonts w:ascii="Times New Roman" w:cs="Times New Roman" w:eastAsia="Times New Roman" w:hAnsi="Times New Roman"/>
          <w:sz w:val="18"/>
          <w:szCs w:val="18"/>
          <w:color w:val="auto"/>
        </w:rPr>
        <w:t>.” However, we would not be restricting our shareholders’ ability to vote all of their shares (including Excess Shares) for or against our initial business combination. Your inability to require us to redeem the Excess Shares will reduce your influence over our ability to complete our initial business combination and you could suffer a material loss on your investment in us if you sell Excess Shares in open market transactions. As a result, you will continue to hold excess shares and, in order to dispose of such excess shares, would be required to sell your shares in open market transactions, potentially at a loss.</w:t>
      </w:r>
    </w:p>
    <w:p>
      <w:pPr>
        <w:spacing w:after="0" w:line="292"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coronavirus (COVID-19) outbreak and the status of debt and equity markets.</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COVID-19 pandemic worldwide and resulting epidemic in the United States has resulted in a widespread health crisis that has adversely affected the economy and financial markets, and the business of any potential target business with which we consummate a business combination could be materially and adversely affected.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8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our ability to consummate a transaction may be dependent on the ability to raise equity and debt financing which may be impacted by COVID-19 and other events.</w:t>
      </w:r>
    </w:p>
    <w:p>
      <w:pPr>
        <w:spacing w:after="0" w:line="266"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color w:val="auto"/>
        </w:rPr>
        <w:t>Because of our limited resources and the significant competition for business combination opportunities, including competition from AAC if AAC does not consummate its announced business combination, we may be unable to complete our initial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receive only their pro rata portion of the funds in the trust account that are available for distribution to public shareholders, and our warrants may expire worthless.</w:t>
      </w:r>
    </w:p>
    <w:p>
      <w:pPr>
        <w:spacing w:after="0" w:line="7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to encounter intense competition from other entities having a business objective similar to ours, including private investors (which may be individuals or investment partnerships), other blank check companies (including AAC if its announced business combination is not completed)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the sale of the private placement warrants and the overfunding loans, our ability to compete with respect to the acquisition of certain target businesses that are sizable will be limited by our available financial resources. Furthermore, we are obligated to offer holders of our public shares the right to require us to redeem their shares for cash at the time of our initial business combination in conjunction with a shareholder vote or via a tender offer. Target companies will be aware that this may reduce the resources available to us for our initial business combination. Any of these limitations and obligations may place us at a competitive disadvantage in successfully negotiating a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receive only their pro rata portion of the funds in the trust account that are available for distribution to public shareholders, and our warrants may expire worthless.</w:t>
      </w:r>
    </w:p>
    <w:p>
      <w:pPr>
        <w:spacing w:after="0" w:line="296"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If the net proceeds of this offering and the sale of the private placement warrants not being held in the trust account are insufficient for us to operate for at least the next 20 months, or such earlier date as our board of directors may approve (or up to 24 months from the closing of this offering if we extend the period of time to consummate a business combination), we will depend on loans from our sponsor or directors and executive officers to fund our search and to complete our initial business combination.</w:t>
      </w:r>
    </w:p>
    <w:p>
      <w:pPr>
        <w:spacing w:after="0" w:line="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Of the net proceeds of this offering and the sale of the private placement warrants, only $2,500,000 will be available to us initially outside the trust account to fund our working capital requirements. We believe that, upon closing of this offering, the funds available to us outside of the trust account, will be sufficient for us to operate for at least the next 20 months, or such earlier date as our board of directors may approve (or up to 24 months from the closing of this offering if we extend the period of time to consummate a business combination). However, we cannot assure you that our estimate is accurate for a target business. Additionally, in the event that our offering expenses exceed our estimate of $2,500,000, we may fund such excess with funds not to be held in the trust account. In such case, unless funded by the proceeds of loans available from our sponsor or its affiliates, the amount of funds we intend to be held outside the trust account would decrease by a corresponding amount. If we are required to seek additional capital, we would need to borrow funds from our sponsor, its affiliates, our directors and executive officers or other third parties to operate or may be forced to liquidate. Neither our sponsor, directors or executive officers nor any of their affiliates is under any obligation to advance funds to us in such circumstances.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because we do not have sufficient funds available to us, we will be forced to cease operations and liquidate the trust account. Consequently, our public shareholders may only receive an estimated $10.10 per share, or possibly less, on our redemption of our public shares, and our warrants may expire worthless.</w:t>
      </w:r>
    </w:p>
    <w:p>
      <w:pPr>
        <w:spacing w:after="0" w:line="299"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67"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will conduct due diligence on a target business with which we intend to combine. However, we cannot assure you that this diligence will surface all material issues with a particular target business, that it would be possible to uncover all material issues through a customary amount of due diligence, or that factors outside the control of the target business and us will not later arise. As a result of these factors, we may be forced to later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These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9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If third parties bring claims against us, the proceeds held in the trust account could be reduced and the per-share redemption amount received by shareholders may be less than $10.10 per public share.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third-party claims against us, including any regulatory actions successfully made against the trust account. Although, following our initial public offering,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directors and executive officers will consider whether competitive alternatives are reasonably available to the company and will only enter into an agreement with such third party that has not executed a waiver if our directors and executive officers believes that such third party’s engagement would be significantly more beneficial to us than any alternative. The underwriters will not execute an agreement with us waiving such claims to the monies held in the trust account.</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third party may refuse to execute a waiver in numerous circumstances, such as the engagement of a third-party consultant whose particular expertise or skills are believed by our directors and executive officers to be superior to those of other consultants that would agree to execute a waiver or in cases where our directors and executive officers are unable to retain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20 months, or such earlier date as our board of directors may approve, (or up to 24 months if we extend the period of time to consummate a business combination)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$10.10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$10.10 per public share and (ii) the actual amount per public share held in the trust account as of the date of the liquidation of the trust account if less than $10.10 per public share due to</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reductions in the value of the trust assets, in each case net of the interest that may be withdrawn to pay our tax obligations.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underwriters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redemptions as of the date of the liquidation of the trust account could be reduced to less than $10.10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93"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$10.10 per public share and (ii) the actual amount per public share held in the trust account as of the date of the liquidation of the trust account if less than $10.10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For example, the cost of such legal action may be deemed by the independent directors to be too high relative to the amount recoverable. If our independent directors choose not to enforce these indemnification obligations, the amount of funds in the trust account available for distribution to our public shareholders at the time of liquidation may be reduced below $10.10 per public share.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have sufficient funds to satisfy indemnification claims of our directors and executive officers.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2"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5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March 30, 2022, the SEC issued proposed rules (“2022 Proposed Rules”) relating to, among other items, enhancing disclosures in business combination transactions involving special purpose acquisition companies and private operating companies; amending the financial statement requirements applicable to transactions involving shell companies; potentially limiting the use of projections in SEC filings in connection with proposed business combination transactions; increasing the potential liability of certain participants in proposed business combination transactions; and the extent to which special purpose acquisition companies could become subject to regulation under the Investment Company Act. These rules, if adopted, whether in the form proposed or in revised form, may materially adversely affect our ability to engage financial and capital market advisors, negotiate and complete our initial business combination and may increase the costs and time related thereto.</w:t>
      </w:r>
    </w:p>
    <w:p>
      <w:pPr>
        <w:spacing w:after="0" w:line="293" w:lineRule="exact"/>
        <w:rPr>
          <w:sz w:val="20"/>
          <w:szCs w:val="20"/>
          <w:color w:val="auto"/>
        </w:rPr>
      </w:pPr>
    </w:p>
    <w:p>
      <w:pPr>
        <w:ind w:left="120" w:right="220"/>
        <w:spacing w:after="0" w:line="317" w:lineRule="auto"/>
        <w:rPr>
          <w:sz w:val="20"/>
          <w:szCs w:val="20"/>
          <w:color w:val="auto"/>
        </w:rPr>
      </w:pPr>
      <w:r>
        <w:rPr>
          <w:rFonts w:ascii="Times New Roman" w:cs="Times New Roman" w:eastAsia="Times New Roman" w:hAnsi="Times New Roman"/>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 each of which may make it difficult for us to complete our initial business combination.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have imposed upon us burdensome requirements,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7"/>
          <w:szCs w:val="17"/>
          <w:color w:val="auto"/>
        </w:rPr>
        <w:t>is not intended for persons who are seeking a return on investments in government securities or investment securities. The trust account is intended as a holding place for funds pending the earliest to occur of either: (i) the completion of our initial business combination or earlier at our option; (ii) the redemption of any public shares properly tendered in connection with a shareholder vote to amend certain provisions of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as described in this prospectus), or</w:t>
      </w:r>
    </w:p>
    <w:p>
      <w:pPr>
        <w:spacing w:after="0" w:line="2" w:lineRule="exact"/>
        <w:rPr>
          <w:sz w:val="20"/>
          <w:szCs w:val="20"/>
          <w:color w:val="auto"/>
        </w:rPr>
      </w:pPr>
    </w:p>
    <w:p>
      <w:pPr>
        <w:ind w:left="120" w:right="40" w:hanging="4"/>
        <w:spacing w:after="0" w:line="251" w:lineRule="auto"/>
        <w:tabs>
          <w:tab w:leader="none" w:pos="4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material provisions relating to shareholders’ rights or pre-initial business combination activity; or (iii) absent our completing an initial business combination within 20 months, or such earlier date as our board of directors may approve, from the closing of this offering (or up to 24 months from the closing of this offering if we extend the period of time to consummate a business combination),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only receive their pro rata portion of the funds in the trust account that are available for distribution to public shareholders, and our warrants may expire worthless.</w:t>
      </w:r>
    </w:p>
    <w:p>
      <w:pPr>
        <w:spacing w:after="0" w:line="19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if (i) the 2022 Proposed Rules are adopted by the SEC and (ii) we do not (x) file a report on Form 8-K with the SEC announcing that we have entered into an agreement with the target company (or companies) to engage in an initial business combination no later than 18 months after the effective date of the registration statement for this offering, and (y) consummate our initial business combination no later than 24 months after the effective date of the registration statement for this offering, there is a risk that we would be deemed to be an investment company and subject to the Investment Company Act. Further, if we do not invest the proceeds as discussed above, we may be deemed to be subject to the Investment Company Act.</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2022 Proposed Rules would provide a safe harbor for SPACs from the definition of “investment company” under Section 3(a)(1)(A) of the Investment Company Act, provided that they satisfy certain conditions that limit a special purpose acquisition company’s duration, asset composition, business purpose and activities. The duration component of the proposed safe harbor rule would require a special purpose acquisition company to file a Current Report on Form 8-K with the SEC announcing that it has entered into an agreement with the target company (or companies) to engage in an initial business combination no later than 18 months after the effective date of the SPAC’s registration statement for its initial public offering. The special purpose acquisition company would then be required to complete its initial business combination no later than 24 months after the effective date of its registration statement for its initial public offering.</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the overfunding loans and extension loans and the Class A ordinary shares issuable upon conversion of such warrants. The registration and availability of such a significant number of securities for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trading in the public market may have an adverse effect on the market price of our Class A ordinary shares, which may make our initial business combination more difficult to conclude. This is because the shareholders of the target business may increase the equity stake they seek in the combined entity or ask for more cash consideration to offset the impact on the market price of our Class A ordinary shares when the securities owned by our sponsor or its permitted transferees are registered.</w:t>
      </w:r>
    </w:p>
    <w:p>
      <w:pPr>
        <w:spacing w:after="0" w:line="2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not limited to evaluating a target business in a particular industry sector and have not selected any specific target businesses to pursue in our initial business combination, you will not have the opportunity to assess the merits or risks of any particular target business’s operations.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pursue business combination opportunities in any industry, sector or location, except that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If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those businesses. Although our officers and directors will endeavor to evaluate the risks inherent in a particular target business, we may not be able to fully assess all of the risks or have adequate time to complete due diligence. Furthermore, some of these risks may be outside of our control and we may be unable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decline in the value of their securities. Such shareholders are unlikely to have a remedy for such reduction in value of their securities.</w:t>
      </w:r>
    </w:p>
    <w:p>
      <w:pPr>
        <w:spacing w:after="0" w:line="291" w:lineRule="exact"/>
        <w:rPr>
          <w:sz w:val="20"/>
          <w:szCs w:val="20"/>
          <w:color w:val="auto"/>
        </w:rPr>
      </w:pPr>
    </w:p>
    <w:p>
      <w:pPr>
        <w:jc w:val="both"/>
        <w:ind w:left="120" w:right="660"/>
        <w:spacing w:after="0" w:line="317" w:lineRule="auto"/>
        <w:rPr>
          <w:sz w:val="20"/>
          <w:szCs w:val="20"/>
          <w:color w:val="auto"/>
        </w:rPr>
      </w:pPr>
      <w:r>
        <w:rPr>
          <w:rFonts w:ascii="Times New Roman" w:cs="Times New Roman" w:eastAsia="Times New Roman" w:hAnsi="Times New Roman"/>
          <w:sz w:val="17"/>
          <w:szCs w:val="17"/>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2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expected.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the business combination could suffer a reduction in the value of their securities. Such holders are unlikely to have a remedy for such reduction in value.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pursue business combination opportunities in any sector, except that we will not, under our amended and restated memorandum and articles of association, be permitted to effectuate our initial business combination solely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Furthermore, some of these risks may be outside of our control and leave us with no ability to control or reduce the chances that those risks will adversely impact a target business. We also cannot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assure you that an investment in our units will ultimately prove to be more favorable to investors than a direct investment, if such opportunity were available, in a business combination target. Accordingly, any holders who choose to retain their securities following the business combination could suffer a reduction in the value of their securities.</w:t>
      </w:r>
    </w:p>
    <w:p>
      <w:pPr>
        <w:spacing w:after="0" w:line="280"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loss of a business combination target’s key personnel could adversely impact the operations and profitability of our post-combination business.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role of prospective target business’s key personnel upon the completion of our initial business combination cannot be ascertained at this time. Although we contemplate that certain members of prospective target business’s management team will remain associated with the target company following our initial business combination, it is possible that members of the management of the target company will not wish to remain in place. The loss of key personnel could adversely affect the operations and profitability of our post-combination business.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may seek acquisition opportunities in industries or sectors which may or may not be outside of our directors and executive officers’ area of expertise.</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will consider a business combination outside of our directors and executive officers’ area of expertise if a business combination candidate is presented to us and we determine that such candidate offers an attractive acquisition opportunity for our company. In the event we elect to pursue an acquisition outside of the areas of our directors and executive officers’ expertise, our directors and executive officers’ expertise may not be directly applicable to its evaluation or operation, and the information contained in this prospectus regarding the areas of our directors and executive officers’ expertise would not be relevant to an understanding of the business that we elect to acquire. Although our directors and executive officers will endeavor to evaluate the risks inherent in any particular business combination candidate, we cannot assure you that we will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certain amount of cash. In addition, if shareholder approval of the transaction is required by applicable law or stock exchange listing requirements, or we decide to obtain shareholder approval for business or other legal reasons, it may be more difficult for us to attain shareholder approval of our initial business combination if the target business does not meet our general criteria and guidelines.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only receive their pro rata portion of the funds in the trust account that are available for distribution to public shareholders, and our warrants may expire worthless.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firm that commonly renders valuation opinions, and consequently, you may have no assurance from an independent source that the price we are paying for the business is fair to our shareholders from a financial point of view.</w:t>
      </w:r>
    </w:p>
    <w:p>
      <w:pPr>
        <w:spacing w:after="0" w:line="6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Unless we complete our initial business combination with an affiliated entity, we are not required to obtain an opinion from an independent firm that commonly renders valuation opinions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287"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or earlier at the option of the holders thereof as a result of the anti-dilution provisions contained in our amended and restated memorandum and articles of association. Any such issuances would dilute the interest of our shareholders and likely present other risks.</w:t>
      </w:r>
    </w:p>
    <w:p>
      <w:pPr>
        <w:spacing w:after="0" w:line="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290,000,000 and 27,500,000 authorized but unissued Class A ordinary shares and Class B ordinary shares, respectively, available for issuance. The Class B ordinary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the consummation of our initial business combination or earlier at the option of the holders thereof and in our amended and restated memorandum and articles of association. Immediately after this offering, there will be no preference shares issued and outstanding. These amounts exclude any shares reserved for issuance upon exercise of outstanding warrants or shares issuable upon conversion of the Class B ordinary shares, if any, or Class A ordinary shares or private placement warrants that may be issued upon conversion of the overfunding loans and the extension loans, respectively.</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a substantial number of additional Class A ordinary shares or preference shares to complete our initial business combination or under an employee incentive plan after completion of our initial business combination.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93"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Unlike most other similarly structured blank check companies, our sponsor will receive additional Class A ordinary shares if we issue shares to consummate an initial business combination.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founder shares will automatically convert into Class A ordinary shares (which such Class A ordinary shares delivered upon conversion will not have any redemption rights or be entitled to liquidating distributions from the trust account if we fail to consummate an initial business combination) at the time of the consummation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our sponsor or any of its affiliates upon conversion of working capital loans, the overfunding loans and the extension loans. In no event will the Class B ordinary shares convert into Class A ordinary shares at a rate of less than one to 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29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We may issue our shares to investors in connection with our initial business combination at a price which is less than the prevailing market price of our shares at that time.</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issue shares to investors in private placement transactions (so-called PIPE transactions) at a price of $10.10 per share or which approximates the per-share amounts in our trust account at such time. The purpose of such issuances will be to enable us to provide sufficient liquidity and capital to the post-business combination entity. The price of the shares we issue may therefore be less, and potentially significantly less, than the market price for our shares at such time. Any such issuances of equity securities could dilute the interests of our existing shareholders.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completed, which could materially and adversely affect subsequent attempts to identify and acquire or merge with another business.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and adversely affect subsequent attempts to identify and acquire or merge with another business.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Recent increases in inflation and interest rates in the United States and elsewhere could make it more difficult for us to consummate an initial business combination.</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Recent increases in inflation and interest rates in the United States and elsewhere may lead to, among other things, (i) increased price volatility for publicly traded securities, including ours, (ii) increased borrowing costs and higher risk-free rates, (iii) other national, regional and international economic disruptions, and (iv) uncertainty regarding the valuation of target businesses, any of which could make it more difficult for us to consummate an initial business combination.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and ongoing military action between Russia and Ukraine.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Although the length, impact and outcome of the ongoing military conflict in Ukraine is highly unpredictable, this conflict has and may continue to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w:t>
      </w:r>
    </w:p>
    <w:p>
      <w:pPr>
        <w:spacing w:after="0" w:line="19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including the potential escalation and expansion of military action in Ukraine and beyond, could adversely affect the global economy and financial markets and could adversely affect our ability to search for a business combination or finance such business combination, and the business, financial condition and results of operations of any target business with which we ultimately consummate a business combination may be materially adversely affected.</w:t>
      </w:r>
    </w:p>
    <w:p>
      <w:pPr>
        <w:spacing w:after="0" w:line="293"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color w:val="auto"/>
        </w:rPr>
        <w:t>Ares may choose not to refer certain opportunities to us due to reputational interests, financial interests, confidentiality concerns, legal, regulatory, tax and any other interests or considerations relevant to Ares, its clients and their respective portfolio companies or because of a potential conflict of interests with AAC.</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Ares, together with its affiliates, engages in a broad range of business activities and invests in a broad range of businesses and assets. Ares takes into account interests of its affiliates, funds and each of their respective portfolio companies (including reputational interests, financial interests, confidentiality concerns, legal, regulatory, tax and any other interests or considerations that arise from time to time) when determining whether to pursue (or how to structure) a potential transaction or investment opportunity. As a result, it is possible that Ares may choose not to refer a business opportunity to us or our officers or directors who are affiliated with Ares may choose not to pursue an opportunity notwithstanding that such opportunity would be attractive to us due to the reputational, financial, confidentiality, legal, regulatory, tax and/or other interests or considerations of Ares and its affiliates. Ares may choose to refer certain opportunities to AAC in the interest of meeting AAC’s time mandate for a business combination.</w:t>
      </w:r>
    </w:p>
    <w:p>
      <w:pPr>
        <w:spacing w:after="0" w:line="27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engage in a business combination with one or more target businesses that have relationships with entities that are affiliated with our sponsor, executive officers, directors or existing holders, which may raise potential conflicts of interest.</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also serve as officers and board members for other entities, including, without limitation, AAC and those described under “Management—Conflicts of Interest.” Our sponsor, directors and executive officers, Ares, or its affiliates may sponsor, form or participate in other blank check companies similar to ours or may pursue other business or investment ventures during the period in which we are seeking an initial business combination. In addition, funds managed by Ares may have provided debt to companies we pursue and such debt may or may not be paid off in connection with a potential business combination. This can include debt that has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been purchased below par but may be required to be repaid at par in connection with such business combination. Although we do not believe that any such potential conflicts would materially affect our ability to complete our initial business combination, any such companies, businesses or investments may present additional conflicts of interest in pursuing an initial business combination and may compete with us for business combination opportunities. Our sponsor, executive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specifically focus on, or target, a transaction with any affiliated entities, we would pursue such a transaction if we determined that such affiliated entity met our criteria for a business combination as set forth in “</w:t>
      </w:r>
      <w:r>
        <w:rPr>
          <w:rFonts w:ascii="Times New Roman" w:cs="Times New Roman" w:eastAsia="Times New Roman" w:hAnsi="Times New Roman"/>
          <w:sz w:val="17"/>
          <w:szCs w:val="17"/>
          <w:i w:val="1"/>
          <w:iCs w:val="1"/>
          <w:color w:val="auto"/>
        </w:rPr>
        <w:t>Proposed Business—Effecting Our Initial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Combination—Evaluation of a Target Business and Structuring of Our Initial Business Combination</w:t>
      </w:r>
      <w:r>
        <w:rPr>
          <w:rFonts w:ascii="Times New Roman" w:cs="Times New Roman" w:eastAsia="Times New Roman" w:hAnsi="Times New Roman"/>
          <w:sz w:val="17"/>
          <w:szCs w:val="17"/>
          <w:color w:val="auto"/>
        </w:rPr>
        <w:t>” and such transaction was approved by a majority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our independent and disinterested directors. Despite our agreement to obtain an opinion from an independent entity that commonly renders valuation opinions regarding the fairness to our shareholders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283"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Our sponsor, executive officers and directors may lose their entire investment in us if our initial business combination is not completed (other than with respect to public shares they may acquire during or after this offering), and conflicts of interest may arise in determining whether a particular business combination target is appropriate for our initial business combination.</w:t>
      </w:r>
    </w:p>
    <w:p>
      <w:pPr>
        <w:spacing w:after="0" w:line="6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7"/>
          <w:szCs w:val="17"/>
          <w:color w:val="auto"/>
        </w:rPr>
        <w:t>On March 19, 2021, our sponsor paid $25,000 to cover certain of our offering costs in consideration of 25,156,250 Class B ordinary shares, par value $0.0001. On February 8, 2023, 22,281,250 Class B ordinary shares were surrendered and thereupon cancelled by the Company resulting in a decrease in the total number of Class B ordinary shares outstanding from 25,156,250 shares to 2,875,000 shares, which would represent 20% of the outstanding shares upon completion of this offering. Prior to the initial investment in the company of $25,000 by the sponsor, the Company had no assets, tangible or intangible. Up to 375,000 founder shares are subject to forfeiture depending on the extent to which the underwriters’ over-allotment option is exercised. The founder shares may be worthless if we do not complete an initial business combination. In addition, our sponsor has agreed to purchase an aggregate of 7,000,000 private placement warrants (or 7,300,000 private placement warrants if the underwriters’ over-allotment option is exercised in full), each exercisable to purchase one Class A ordinary share at $11.50 per share, at a price of $1.00 per warrant ($7,000,000 in the aggregate or $7,300,000 if the underwriters’ over-allotment option is exercised in full), in a private placement that will close simultaneously with the closing of this offering. If we do not consummate an initial business combination within 20 months, or such earlier date as our board of directors may approve, from the closing of this offering (or up to 24 months from the closing of this offering if we extend the period of time to consummate a business combination), the private placement warrants may expire worthless. In addition, if we do not complete our initial business combination, we will not repay the overfunding loans from the trust account, and we would likely not have other available funds to repay the overfunding loans. Additionally, if we need to extend the time available for us to consummate our initial business transaction and we do not have sufficient funds to deposit into the trust account, the Contributor will contribute to us, as a loan upon five days’ advance notice prior the end of each applicable deadline, the deposit for each</w:t>
      </w:r>
    </w:p>
    <w:p>
      <w:pPr>
        <w:spacing w:after="0" w:line="8"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two-month period ($ , or $ if the underwriters’ over-allotment option is exercised in full ($0. per public share in either case)). The personal and financial interests of our executive officers and directors may influence them in identifying and selecting a target business combination, completing an initial business combination and operating the business following the initial business combination. This risk may become more acute as the 20-month anniversary of the closing of this offering (or up to 24 months from the closing of this offering if we extend the period of time to consummate a business combination) nears, which is the deadline for our consummation of an initial business combination.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To complete a business combination, we may issue notes or other debt securities or otherwise incur substantial debt, which may adversely affect our leverage and financial condition and negatively impact the value of our shares.</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(other than the overfunding loans), or to otherwise incur outstanding debt following this offering, we may choose to incur substantial debt to complete our initial business combination. The incurrence of debt could have a variety of negative effects, including:</w:t>
      </w:r>
    </w:p>
    <w:p>
      <w:pPr>
        <w:spacing w:after="0" w:line="81" w:lineRule="exact"/>
        <w:rPr>
          <w:sz w:val="20"/>
          <w:szCs w:val="20"/>
          <w:color w:val="auto"/>
        </w:rPr>
      </w:pPr>
    </w:p>
    <w:p>
      <w:pPr>
        <w:ind w:left="1080" w:right="5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66" w:lineRule="exact"/>
        <w:rPr>
          <w:sz w:val="20"/>
          <w:szCs w:val="20"/>
          <w:color w:val="auto"/>
        </w:rPr>
      </w:pPr>
    </w:p>
    <w:p>
      <w:pPr>
        <w:jc w:val="both"/>
        <w:ind w:left="120" w:right="260"/>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the sale of the private placement warrants and the overfunding loans, which will cause us to be dependent on a single business that may have a limited number of products or services. This lack of diversification may negatively impact our operations and profitability.</w:t>
      </w:r>
    </w:p>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proceeds from this offering, the private placement of warrants and the overfunding loans will provide us with up to $97,500,000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$112,125,000 if the underwriters’ over-allotment option is exercised in full) that we may use to complete our initial business combination (after taking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into account the $3,500,000, or $4,025,000 if the over-allotment option is exercised in full, of deferred underwriting commissions being held in the 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 and the estimated expenses of this offering and working capital expenses).</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The lack of diversification that may result from completing our initial business combination with a single entity may subject us to numerous economic, competitive, geographic and regulatory factors. Further, we would not be able to diversify our operations or benefit from the possible spreading of risks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or offsetting of losses, unlike other entities that may have the resources to complete several business combinations in different industries or different areas of a single industry. Accordingly, the prospects for our success may:</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 on the performance of a single business, property or asset;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 on the development or market acceptance of a single or limited number of products, processes or services.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of the foregoing risks could have a substantial adverse impact upon the particular industry in which we may operate following our initial business combination.</w:t>
      </w:r>
    </w:p>
    <w:p>
      <w:pPr>
        <w:spacing w:after="0" w:line="266"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each of such sellers to agree that our purchase of its business is contingent on the simultaneous closings of the other business combinations, which may make it more difficult for us to complete our initial business combination timely or at all.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collectively own a minority of the post-business combination company and accordingly, our directors and executive officers may not be able to maintain control of a target business after our initial business combination.</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interest in the target. However, as a result of the issuance of a substantial number of new shares, our shareholders immediately prior to our initial business transaction could own less than a majority of our outstanding shares subsequent to our initial business combination. In addition, other minority shareholders may subsequently combine their holdings resulting in a single person or group obtaining a larger share of the company’s shares than we initially acquired. Accordingly, our directors and executive officers may be unable to maintain control of the acquired business.</w:t>
      </w:r>
    </w:p>
    <w:p>
      <w:pPr>
        <w:spacing w:after="0" w:line="301"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not provide a specified maximum redemption threshold. As a result, we may be able to complete our initial business combination even though a substantial majority of our public shareholders do not agree with the transaction and have required us to redeem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To effectuate an initial business combination, blank check companies have amended various provisions of their charters and other governing instruments, including their warrant agreements. We may seek to amend our amended and restated memorandum and articles of association or governing instruments in a manner that will make it easier for us to complete our initial business combination that some of our shareholders may not support.</w:t>
      </w:r>
    </w:p>
    <w:p>
      <w:pPr>
        <w:spacing w:after="0" w:line="72"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extended the time to consummate an initial business combination and, with respect to their warrants, amended their warrant agreements to require the warrants to be exchanged for cash 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shareholder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then-outstanding private placement warrants. In addition, our amended and restated memorandum and articles of association will require us to provide our public shareholders with the opportunity to have their public shares redeemed for cash if we propose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to effectuate our initial business combination.</w:t>
      </w:r>
    </w:p>
    <w:p>
      <w:pPr>
        <w:spacing w:after="0" w:line="296"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The provisions of our amended and restated memorandum and articles of association that relate to the rights of holders of our Class A ordinary shares may be amended with the approval of a special resolution which requires the approval of the holders of at least two-thirds of our ordinary shares who attend and vote at a shareholder meeting of the company. The support of such proposed amendments by our sponsor, directors and officers who hold ordinary shares may make it easier for us, therefore, to amend our amended and restated memorandum and articles of association to facilitate the completion of an initial business combination that some of our shareholders may not support.</w:t>
      </w:r>
    </w:p>
    <w:p>
      <w:pPr>
        <w:spacing w:after="0" w:line="7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any of its provisions related to the rights of holders of our Class A ordinary shares (including the requirement to deposit proceeds of this offering, the private placement of warrants and the overfunding loans into the trust account and not release such amounts except in specified circumstances, and to provide redemption rights to public shareholders) may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amended if approved by special resolution, approved by holders of at least two-thirds of our ordinary shares who attend and vote at a shareholder meeting of the company. Corresponding provisions of the trust agreement governing the release of funds from our trust account may be amended if approved by holders of at least 50% of our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agreements with us, that they will not propose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unless we provide our public shareholders with the opportunity to have their Class A ordinary shares redeemed upon approval of any such amendment at a per-share price, payable in cash, equal to the aggregate amount then on deposit in the trust account, including interest earned thereon (less taxes payable), divided by the number of the then-outstanding public shares. Our shareholders are not parties to, or third-party beneficiaries of, these agreements and, as a result, will not have the ability to pursue remedies against our sponsor, executive officers or directors for any breach of these agreements. As a result, in the event of a breach, our shareholders would need to pursue a shareholder derivative action, subject to applicable law.</w:t>
      </w:r>
    </w:p>
    <w:p>
      <w:pPr>
        <w:spacing w:after="0" w:line="29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only receive their pro rata portion of the funds in the trust account that are available for distribution to public shareholders, and our warrants may expire worthless.</w:t>
      </w:r>
    </w:p>
    <w:p>
      <w:pPr>
        <w:spacing w:after="0" w:line="7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the sale of the private placement warrants and the overfunding loans will be sufficient to allow us to complete our initial business combination, because we have not yet selected any prospective target business we cannot ascertain the capital requirements for any particular transaction. If the net proceeds of this offering, the sale of the private placement warrants and the overfunding loans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only receive their pro rata portion of the funds in the trust account equal to the aggregate amount then on deposit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the trust account, including interest earned thereon (less taxes payable), and our warrants may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284"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federal proxy rules require that a proxy statement with respect to a vote on a business combination meeting certain financial significance tests include historical 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generally accepted accounting principles (“GAAP”) in the United States of America, or international financial reporting standards (“IFRS”) as issued by the International Accounting Standards Board, depending on the circumstances and the historical financial statements may be required to be audited in accordance with the standards of the Public Company Accounting Oversight Board (“PCAOB”) in the United States).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292"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2024.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complete an initial business combination since such initial business combination may be subject to regulatory review and approval requirement, including foreign investment regulations and review by government entities such as the Committee on Foreign Investment in the United States (“CFIUS”), or may be ultimately prohibited.</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initial business combination may be subject to regulatory review and approval requirements by governmental entities, or ultimately prohibited. For example, CFIUS has authority to review direct or indirect foreign investments in U.S. companies. Among other things, CFIUS is empowered to require certain foreign investors to make mandatory filings, to charge filing fees related to such filings, and to self-initiate national security reviews of foreign direct and indirect investments in U.S. companies if the parties to that investment choose not to file voluntarily. In the case that CFIUS determines an investment to be a threat to national security, CFIUS has the power to unwind or place restrictions on the investment. Whether CFIUS has jurisdiction to review an acquisition or investment transaction depends on — among other factors — the nature and structure of the transaction, including the level of beneficial ownership interest and the nature of any information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governance rights involved. For example, investments that result in “control” of a U.S. business by a foreign person always are subject to CFIUS jurisdiction. CFIUS’s expanded jurisdiction under the Foreign Investment Risk Review Modernization Act of 2018 and implementing regulations that became effective on February 13, 2020 further includes investments that do not result in control of a U.S. business by a foreign person but afford certain foreign investors certain information or governance rights in a U.S. business that has a nexus to “critical technologies,” “critical infrastructure” and/or “sensitive personal data.”</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sponsor will own 20.0% of our issued and outstanding ordinary shares following this offering. It is possible that non-U.S. persons could be involved in our initial business combination, which may increase the risk that our initial business combination becomes subject to regulatory review, including review by CFIUS. As such, an initial business combination with a U.S. business or foreign business with U.S. subsidiaries that we may wish to pursue may be subject to CFIUS review. If a particular proposed initial business combination with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our proposed initial business combination, impose conditions with respect to such initial business combination or request the President of the United States to order us to divest all or a portion of the U.S. target business of our initial business combination that we acquired without first obtaining CFIUS approval, which may limit the attractiveness of, delay or prevent us from pursuing certain target companies that we believe would otherwise be beneficial to us and our shareholders.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 In addition, certain federally licensed businesses may be subject to rules or regulations that limit foreign ownership.</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process of government review, whether by CFIUS or otherwise, could be lengthy. Because we have only a limited time to complete our initial business combination, our failure to obtain any required approvals within the requisite time period may require us to liquidate. If we are unable to consummate our initial business combination within the applicable time period required under our amended and restated memorandum and articles of association, including as a result of extended regulatory review of a potential initial business combination, we will, as promptly as reasonably possible but not more than ten business days thereafter, redeem the public shares for a pro rata portion of the funds held in the trust account, subject to our obligations under Cayman Islands law to provide for claims of creditors and the requirements of other applicable law. In such event, our shareholders will miss the opportunity to benefit from an investment in a target company and the appreciation in value of such investment. Additionally, our warrants may be worthless.</w:t>
      </w:r>
    </w:p>
    <w:p>
      <w:pPr>
        <w:spacing w:after="0" w:line="296"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6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or delisting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wars;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economic, political and social conditions, as well as government policies and catastrophic events such as fires, floods, earthquakes, tornadoes, hurricanes and pandemics,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In recent years, the number of special purpose acquisition companies that have been formed has increased substantially, potentially resulting in more competition for attractive targets. This could increase the cost of our initial business combination and could even result in our inability to find a target or to consummate an initial business combination.</w:t>
      </w:r>
    </w:p>
    <w:p>
      <w:pPr>
        <w:spacing w:after="0" w:line="6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recent years, the number of special purpose acquisition companies that have been formed has increased substantially. Because there are more special purpose acquisition companies seeking to enter into an initial business combination with available targets, the competition for available targets with attractive fundamentals or business models may increase, which could cause targets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rate fluctuations and currency policies may cause a target business’ ability to succeed in the international markets to be diminished.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3"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b w:val="1"/>
          <w:bCs w:val="1"/>
          <w:color w:val="auto"/>
        </w:rPr>
        <w:t>We may engage one or more of our underwriters or one of their respective affiliates to provide additional services to us after this offering, which may include acting as financial advisor in connection with an initial business combination or as placement agent in connection with a related financing transaction. Our underwriters are entitled to receive deferred commissions that will released from the trust only upon a completion of an initial business combination or earlier at our option. These financial incentives may cause them to have potential conflicts of interest in rendering any such additional services to us after this offering, including, for example, in connection with the sourcing and consummation of an initial business combination.</w:t>
      </w:r>
    </w:p>
    <w:p>
      <w:pPr>
        <w:spacing w:after="0" w:line="7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engage one or more of our underwriters or one of their respective affiliates to provide additional services to us after this offering,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provided that no agreement will be entered into with any of the underwriters or their respective affiliates and no fees or other compensation for such services will be paid to any of the underwriters or their respective affiliates prior to the date that is 60 days from the date of this prospectus, unless FINRA determines that such payment would not be deemed underwriters’ compensation in connection with this offering. The underwriters are also entitled to receive deferred commissions that are conditioned on the completion of an 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an initial business combination.</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market for directors and officers liability insurance could make it more difficult and more expensive for us to negotiate and complete an initial business combination.</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market for directors and officers liability insurance for special purpose acquisition companies has changed in ways adverse to us and our management team. Fewer insurance companies are offering quotes for directors and officers liability coverage, the premiums charged for such policies have generally increased and the terms of such policies have generally become less favorable. These trends may continue into the future.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Management Team</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are dependent upon our executive officers and their loss could adversely affect our ability to operate.</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We believe that our success depends on the continued service of our officers, who are employed by an affiliate of our sponsor,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AAC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 We do not have an employment agreement with, or key-man insurance on the life of, any of our executive officers.</w:t>
      </w:r>
    </w:p>
    <w:p>
      <w:pPr>
        <w:spacing w:after="0" w:line="194"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addition, if any of our executive officers ceased to be employed by an affiliate of our sponsor, such individual may also no longer serve as one of our executive officers. The unexpected loss of the services of one or more of our directors or executive officers could have a detrimental effect on us.</w:t>
      </w:r>
    </w:p>
    <w:p>
      <w:pPr>
        <w:spacing w:after="0" w:line="24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effectuate our initial business combination and to successfully operate thereafter will depend on our key personnel. The loss of, or inability to attract, key personnel could negatively impact the operations and profitability of our post-combination business.</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ability to effectuate our initial business combination depends on the diligence, skill, judgment, business contacts and personal reputations of our key personnel. Our future success will depend upon our ability to retain our current key personnel and to recruit additional qualified personnel. If any of our key personnel join competitors or from competing companies, we may be unable to complete our initial business combination.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 not carry any “key person” insurance that would provide us with proceeds in the event of the death or disability of any of our key personnel.</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it will be necessary for us to add key personnel to complete our initial business combination or operate our post-combination business. However, the market for qualified professionals is extremely competitive and we may not succeed in recruiting additional personnel or we may fail to effectively replace current personnel who depart with qualified or effective successors.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failure to appropriately address conflicts of interest could adversely affect our business and reputation.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will seek to identify and combine with one or more businesses. Certain of our officers and directors have, and any of them in the future may have, additional fiduciary or contractual obligations to other entities pursuant to which they are or will be required to present a business combination opportunity to such entity, subject to their fiduciary duties under Cayman Islands law. In particular, an affiliate of Ares formed, and such affiliate, Mr. Kaplan, Mr. Arougheti, Mr. Phillips, Ms. Satin and Mr. Ogilvie are actively engaged in, AAC, a special purpose acquisition company that completed its initial public offering in February 2021 and entered into a business combination agreement on December 5, 2022. AAC, like us, may pursue initial business combination targets in any businesses or industries and has until August 2023 to do so. In addition, certain of our officers and directors are also officers, managers or directors of Ares and certain of its affiliated funds and investment vehicles, and certain of their current or former portfolio companies. Some of these entities have limited partners or public equity holders to whom these individuals owe fiduciary duties. Accordingly, conflicts of interest may arise in determining the allocation of specific investment opportunities among Ares, its funds and investment vehicles, and us and the allocation of fees and costs among these entities. These conflicts may not be resolved in our favor and a potential target business may be presented to another entity prior to its presentation to us, subject to their fiduciary duties under Cayman Islands law.</w:t>
      </w:r>
    </w:p>
    <w:p>
      <w:pPr>
        <w:spacing w:after="0" w:line="19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our directors and officers or Ares or its affiliates may in the future become affiliated with other blank check companies that may have acquisition objectives that are similar to ours. Accordingly, conflicts of interest may arise in determining the allocation of specific investment opportunities to any such companies and us and the allocation of fees and costs among these entities.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 Any such blank check company, including AAC if its announced business combination is not completed, may present additional conflicts of interest in pursuing an acquisition target, particularly if there is overlap among investment mandates and the board and management teams.</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Though we believe we and Ares have appropriate means and oversight to resolve the foregoing conflicts, our judgment on any particular decision could be challenged. If we fail to appropriately address any such conflicts, it could negatively impact our reputation and ability to raise additional funds and the willingness of counterparties to do business with us or result in potential litigation against us.</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our executive officers’ and directors’ business affiliations and the potential conflicts of interest that you should be aware of, please see “</w:t>
      </w:r>
      <w:r>
        <w:rPr>
          <w:rFonts w:ascii="Times New Roman" w:cs="Times New Roman" w:eastAsia="Times New Roman" w:hAnsi="Times New Roman"/>
          <w:sz w:val="18"/>
          <w:szCs w:val="18"/>
          <w:i w:val="1"/>
          <w:iCs w:val="1"/>
          <w:color w:val="auto"/>
        </w:rPr>
        <w:t>Management—Officers, Directors and Director Nominees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and directors will allocate their time to other businesses, which could have a negative impact on our ability to complete our initial business combination.</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executive officers and directors are not required to, and will not, commit their full professional time to our affairs, which may result in conflicts of interest in allocating their time between our operations and identifying a potential acquisition target and their other professional responsibilities.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Chief Executive Officer, Chief Financial Officer, Chief Operating Officer and Executive Vice President of Strategy serve in those roles for AAC. Our independent directors may also serve as officers or board members for other entities. Our independent directors also serve as, and may in the future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w:t>
      </w:r>
      <w:r>
        <w:rPr>
          <w:rFonts w:ascii="Times New Roman" w:cs="Times New Roman" w:eastAsia="Times New Roman" w:hAnsi="Times New Roman"/>
          <w:sz w:val="18"/>
          <w:szCs w:val="18"/>
          <w:i w:val="1"/>
          <w:iCs w:val="1"/>
          <w:color w:val="auto"/>
        </w:rPr>
        <w:t>Management—Officers,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Director Nominees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have or will have direct and indirect economic interests in us and/or our sponsor after the consummation of this offering and such interests may potentially conflict with those of our public shareholders as we evaluate and decide whether to recommend a potential business combination to our public shareholders.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of our officers and directors may own membership interests in our sponsor and indirect interests in our Class B ordinary shares and private placement warrants which may result in interests that differ from the economic interests of the investors in this offering, which includes making a determination of whether a particular target business is an appropriate business with which to effectuate our initial business combination. There may be a potential conflict of interest between our officers and directors that hold membership interests in our sponsor and our public shareholders that may not be resolved in favor of our public shareholders. See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executive officers, directors, security holders and their respective affiliates may have competitive pecuniary interests that conflict with our interests.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Although it is not our intention, we may enter into a business combination with a target business that is affiliated with our sponsor, or one or more of our directors or executive officers or in which they have a direct or indirect pecuniary or financial interest.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them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This could give rise to claim by us or our shareholders for a breach of their fiduciary duties to us as a matter of Cayman Islands law. See the section titled “</w:t>
      </w:r>
      <w:r>
        <w:rPr>
          <w:rFonts w:ascii="Times New Roman" w:cs="Times New Roman" w:eastAsia="Times New Roman" w:hAnsi="Times New Roman"/>
          <w:sz w:val="18"/>
          <w:szCs w:val="18"/>
          <w:i w:val="1"/>
          <w:iCs w:val="1"/>
          <w:color w:val="auto"/>
        </w:rPr>
        <w:t>Description of Securities—Certain Differences in Corporate Law—Shareholders’ Suits</w:t>
      </w:r>
      <w:r>
        <w:rPr>
          <w:rFonts w:ascii="Times New Roman" w:cs="Times New Roman" w:eastAsia="Times New Roman" w:hAnsi="Times New Roman"/>
          <w:sz w:val="18"/>
          <w:szCs w:val="18"/>
          <w:color w:val="auto"/>
        </w:rPr>
        <w:t>” for further information on the ability to bring such claims. However, we may not ultimately be successful in any claim we may make against them.</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Compliance with United States securities laws may require additional time and resources.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Following our initial business combination, our directors and executive officers may resign from their positions as officers or directors of the company and the management of the target business at the time of the business combination may remain in place. Management of the target business may not be familiar with United States securities laws, compliance with which may place a strain on our systems and resources. If our directors and executive officers are not able to develop the necessary expertise, procedures and processes, we may be unable to report our financial information on a timely or accurate basis, which could subject us to adverse regulatory consequences, including sanctions by the SEC or violations of applicable NYSE listing rules. There could also be a negative reaction in the financial markets due to a loss of investor confidence in us and the reliability of our financial statements. Confidence in the reliability of our financial statements could also suffer if our independent registered public accounting firm were to report a material weakness in our internal controls over financial reporting. This could have a material adverse effect on us and lead to a decline in the price of our securities.</w:t>
      </w:r>
    </w:p>
    <w:p>
      <w:pPr>
        <w:spacing w:after="0" w:line="292"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Members of our management team and board of directors have significant experience as founders, board members, officers or executives of other companies. As a result, certain of those persons have been, may be, or may become, involved in proceedings, investigations and litigation relating to the business affairs of the companies with which they were, are, or may in the future be, affiliated. This may have an adverse effect on us, which may impede our ability to consummate an initial business combination.</w:t>
      </w:r>
    </w:p>
    <w:p>
      <w:pPr>
        <w:spacing w:after="0" w:line="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course of their careers, members of our management team and board of directors have had significant experience as founders, board members, officers or executives of other companies. As a result of their involvement and positions in these companies, certain persons were, are now, or may in the future become, involved in litigation, investigations or other proceedings relating to the business affairs of such companies or transactions entered into by such companies. Any such litigation, investigations or other proceedings may divert our management team’s and directors’ attention and resources away from identifying and selecting a target business or businesses for our initial business combination and may negatively affect our reputation, which may impede our ability to complete an initial business combination.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public shareholders will be entitled to receive funds from the trust account only upon the earlier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provisions relating to the rights or pre-initial business combination activity of our Class A ordinary shares, and (iii) the redemption of our public shares if we have not consummated an initial business within 20 months, or such earlier date as our board of directors may approve, from the closing of this offering (or up to 24 months from the closing of this offering if we extend the period of time to consummate a business combination),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The NYSE may delist our securities from trading on its exchange, which could limit investors’ ability to make transactions in our securities and subject us to additional trading restrictions.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intend to apply to have our units listed on the NYSE on the date of this prospectus and to have our Class A ordinary shares and warrants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To continue listing our securities on the NYSE prior to our initial business combination, we must maintain certain financial, distribution and share price levels. Generally, we must maintain a minimum market capitalization (generally $50,000,000), a minimum market capitalization attributable to publicly held shares (generally $40,000,000) and a minimum number of holders of our securities (generally 300 public holders). Requests for redemption in connection with a shareholder vote on extension may adversely affect our ability to meet these requirements and may result in a suspension of trading or loss of our listing.</w:t>
      </w:r>
    </w:p>
    <w:p>
      <w:pPr>
        <w:spacing w:after="0" w:line="192"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to continue to maintain the listing of our securities on the NYSE.</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instance, for our shares to be listed upon the consummation of our business combination, at such time our share price would generally be required to be at least $4.00 per share, our total market capitalization would be required to be at least $200.0 million, the aggregate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jc w:val="both"/>
        <w:ind w:left="1080" w:right="160" w:hanging="424"/>
        <w:spacing w:after="0" w:line="312"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blank check companies subject to Rule 419 of the Securities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the net proceeds of this offering, the sale of the private placement warrants and the overfunding loans are intended to be used to complete an initial business combination with a target business that has not been selected, we may be deemed to be a “blank check” company under the United States securities laws. However, because we are listed on a national securities exchange meeting certain quantitative requirements set out in Rule 3a51-1(a)(2) of the Exchange 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w:t>
      </w:r>
      <w:r>
        <w:rPr>
          <w:rFonts w:ascii="Times New Roman" w:cs="Times New Roman" w:eastAsia="Times New Roman" w:hAnsi="Times New Roman"/>
          <w:sz w:val="18"/>
          <w:szCs w:val="18"/>
          <w:i w:val="1"/>
          <w:iCs w:val="1"/>
          <w:color w:val="auto"/>
        </w:rPr>
        <w:t>Proposed Business—Comparison of This Offering to Those of Blank Check Companies Subject to 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419</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paid a nominal price for the founder shares, and, accordingly, you will experience immediate and substantial dilution from the purchase of our Class A ordinary shares.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As a result of various transactions, our sponsor (together with its permitted transferees) currently holds an aggregate of 2,875,000 Class B ordinary shares, which would represent 20% of the outstanding shares upon completion of this offering. Upon closing of this offering, and assuming no value is ascribed to the warrants included in the units, you and the other public shareholders will incur an immediate and substantial dilution of substantial dilution of approximately 106% (or $10.60 per share, assuming no exercise of the underwriters’ over-allotment option), the difference between the pro forma net tangible book value per share of $(0.60)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or earlier at the option of the holders thereof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291"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value of the founder shares following completion of our initial business combination is likely to be substantially higher than the nominal price paid for them, even if the trading price of our ordinary shares at such time is substantially less than $10.00 per share.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our sponsor (and its permitted transferees) will have invested in us an aggregate of $7,025,000, comprised of the $25,000 purchase price for the founder shares and the $7,000,000 purchase price for the private placement warrants (or an aggregate of $7,325,0000 comprised of the $25,000 purchase price for the founder shares and the $7,300,000 purchase price for the private placement warrants if the underwriters’ over-allotment option is exercised in full). Such purchase of the private placement warrants will be funded by our Sponsor. Assuming a trading price of $10.00 per share upon consummation of our initial business combination, the 2,500,000 founder shares (or 2,875,000 founder shares if the underwriters’ over-allotment option is exercised in full) would have an aggregate implied value of $25,000,000 (or an aggregate implied value of $28,750,000 if the underwriters’ over-allotment option is exercised in full). Even if the trading price of our ordinary shares were as low as $2.81 per share (or $2.55 per share if the underwriters’ over-allotment option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exercised in full), and the private placement warrants are worthless, the value of the founder shares would be equal to our sponsor’s (and its permitted transferees) initial investment in us. As a result, our sponsor (and its permitted transferees) is likely to be able to make a substantial profit on the investment in us at a time when our public shares have lost significant value (whether because of a substantial amount of redemptions of our public shares or any other reason). Accordingly, our management team, which owns interests in our sponsor, may be more willing to pursue a business combination with a riskier or less established target business than would be the case if our sponsor had paid the same per share price for the founder shares as our public shareholders paid for their public shares.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manner that may be adverse to holders of public warrants with the approval by the holders of at least 50%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7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w:t>
      </w:r>
    </w:p>
    <w:p>
      <w:pPr>
        <w:spacing w:after="0" w:line="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50% of the number of the then-outstanding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293"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6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 With respect to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7"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may redeem your unexpired warrants prior to their exercise at a time that is disadvantageous to you, thereby making your warrants worthless.</w:t>
      </w:r>
    </w:p>
    <w:p>
      <w:pPr>
        <w:spacing w:after="0" w:line="51"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We have the ability to redeem outstanding warrants at any time after they become exercisable and prior to their expiration, at a price of $0.01 per warrant,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closing price of our Class A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7"/>
          <w:szCs w:val="17"/>
          <w:i w:val="1"/>
          <w:iCs w:val="1"/>
          <w:color w:val="auto"/>
        </w:rPr>
        <w:t>Description of Securities—Warrants—Public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Shareholders’ Warrants—Anti-Dilution Adjustments</w:t>
      </w:r>
      <w:r>
        <w:rPr>
          <w:rFonts w:ascii="Times New Roman" w:cs="Times New Roman" w:eastAsia="Times New Roman" w:hAnsi="Times New Roman"/>
          <w:sz w:val="17"/>
          <w:szCs w:val="17"/>
          <w:color w:val="auto"/>
        </w:rPr>
        <w:t>”) for any 20 trading days within a 30-trading day period ending on the third trading day prior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on which we send the notice of redemption to the warrant holders,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w:t>
      </w:r>
    </w:p>
    <w:p>
      <w:pPr>
        <w:spacing w:after="0" w:line="5" w:lineRule="exact"/>
        <w:rPr>
          <w:sz w:val="20"/>
          <w:szCs w:val="20"/>
          <w:color w:val="auto"/>
        </w:rPr>
      </w:pPr>
    </w:p>
    <w:p>
      <w:pPr>
        <w:ind w:left="120" w:right="80" w:hanging="4"/>
        <w:spacing w:after="0" w:line="260" w:lineRule="auto"/>
        <w:tabs>
          <w:tab w:leader="none" w:pos="4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the nominal redemption price which, at the time the outstanding warrants are called for redemption, is likely to be substantially less than the market value of your warrants.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 of the private placement warrants will be redeemable by us.</w:t>
      </w:r>
    </w:p>
    <w:p>
      <w:pPr>
        <w:spacing w:after="0" w:line="32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warrants may have an adverse effect on the market price of our Class A ordinary shares and make it more difficult to effectuate our initial business combination.</w:t>
      </w:r>
    </w:p>
    <w:p>
      <w:pPr>
        <w:spacing w:after="0" w:line="51"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We will be issuing warrants to purchase 5,000,000 of our Class A ordinary shares (or up to 5,750,000 Class A ordinary shares if the underwriters’ over-allotment option is exercised in full) as part of the units offered by this prospectus and, simultaneously with the closing of this offering, we will be issuing in a private placement an aggregate of 7,000,000 private placement warrants (or 7,300,000 private placement warrants if the underwriters’ over-allotment option is exercised in full), each exercisable to purchase one Class A ordinary share at $11.50 per share, subject to adjustment. In addition,</w:t>
      </w:r>
    </w:p>
    <w:p>
      <w:pPr>
        <w:spacing w:after="0" w:line="3" w:lineRule="exact"/>
        <w:rPr>
          <w:sz w:val="20"/>
          <w:szCs w:val="20"/>
          <w:color w:val="auto"/>
        </w:rPr>
      </w:pPr>
    </w:p>
    <w:p>
      <w:pPr>
        <w:ind w:left="120" w:right="160" w:hanging="4"/>
        <w:spacing w:after="0" w:line="253"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sponsor makes any working capital loans, it may convert up to $2,000,000 of such loans into up to an additional 2,000,000 private placement warrants, at the price of $1.00 per warrant and (ii) if we complete our initial business combination, we will, at the option of our sponsor, repay any extension loans out of the proceeds of the trust account released to us or convert a portion or all of the total extension loan amount into warrants of the post-business combination entity at a price of $1.00 per warrant, which warrants will be identical to the private placement warrants.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issue Class A ordinary shares in connection with our redemption of our warrants.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color w:val="auto"/>
        </w:rPr>
        <w:t>Because each unit contains one-half of one redeemable warrant and only a whole warrant may be exercised, the units may be worth less than units of other blank check companies.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unit contains one-half of one redeemable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similar offerings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 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 to consummate an initial business combination.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Unlike most blank check companies, if (i) we issue additional Class A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prices described below under “Description of Securities—Warrants—Public Shareholders’ Warrants—Redemption of warrants when the price per Class A ordinary share equals or exceeds $18.00” will be adjusted (to the nearest cent) to be equal to 180% of the higher of the Market Value and the Newly Issued Price. This may make it more difficult for us to consummate an initial business combination with a target business.</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our directors and executive officers held customary organizational meetings with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ordinary shares and warrants underlying the units, include:</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directors and executive officers and their experience in identifying operating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geopolitical events like the conflict in Ukraine, economic impacts such as inflation or the COVID-19 outbreak. Furthermore, an active trading market for our securities may never develop or, if developed, it may not be sustained. You may be unable to sell your securities unless a market can be established and sustained.</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sponsor controls a substantial interest in us and thus may exert a substantial influence on actions requiring a shareholder vote, potentially in a manner that you do not support.</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Upon closing of this offering, our sponsor will (together with its permitted transferees)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shareholder meeting to elect new directors prior to the completion of our initial business combination, in which case all of the current directors will continue in office until at least the completion of the business combination. If there is an annual shareholder meeting, as a consequence of our “staggered” board of directors, only a minority of the board of directors will be considered for appointment.</w:t>
      </w:r>
    </w:p>
    <w:p>
      <w:pPr>
        <w:spacing w:after="0" w:line="29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6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9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corporate affairs will be governed by our amended and restated memorandum and articles of association, the Companies Act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been advised by Maples and Calder (Cayman) LLP, our Cayman Islands legal counsel, that the courts of the Cayman Islands are unlikely</w:t>
      </w:r>
    </w:p>
    <w:p>
      <w:pPr>
        <w:spacing w:after="0" w:line="39" w:lineRule="exact"/>
        <w:rPr>
          <w:sz w:val="20"/>
          <w:szCs w:val="20"/>
          <w:color w:val="auto"/>
        </w:rPr>
      </w:pPr>
    </w:p>
    <w:p>
      <w:pPr>
        <w:ind w:left="120" w:hanging="4"/>
        <w:spacing w:after="0" w:line="251"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our directors and executive officers, members of the board of directors or controlling shareholders than they would as public shareholders of a United States company.</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our directors.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and the ability of the board of directors to designate the terms of and issue new series of preference shares, which may make more difficult the removal of our directors and may discourage transactions that otherwise could involve payment of a premium over prevailing market prices for our securities.</w:t>
      </w:r>
    </w:p>
    <w:p>
      <w:pPr>
        <w:spacing w:after="0" w:line="284" w:lineRule="exact"/>
        <w:rPr>
          <w:sz w:val="20"/>
          <w:szCs w:val="20"/>
          <w:color w:val="auto"/>
        </w:rPr>
      </w:pPr>
    </w:p>
    <w:p>
      <w:pPr>
        <w:ind w:left="120" w:right="320"/>
        <w:spacing w:after="0" w:line="259" w:lineRule="auto"/>
        <w:rPr>
          <w:sz w:val="20"/>
          <w:szCs w:val="20"/>
          <w:color w:val="auto"/>
        </w:rPr>
      </w:pPr>
      <w:r>
        <w:rPr>
          <w:rFonts w:ascii="Times New Roman" w:cs="Times New Roman" w:eastAsia="Times New Roman" w:hAnsi="Times New Roman"/>
          <w:sz w:val="18"/>
          <w:szCs w:val="18"/>
          <w:b w:val="1"/>
          <w:bCs w:val="1"/>
          <w:color w:val="auto"/>
        </w:rPr>
        <w:t>Our amended and restated certificate memorandum and articles of association will require, to the fullest extent permitted by law, that derivative actions brought in our name, actions against our directors, officers, other employees or shareholders for breach of fiduciary duty and certain other actions may be brought only in the courts of the Cayman Islands and, if brought outside of The Cayman Islands, the shareholder bringing the suit will, subject to certain exceptions, be deemed to have consented to service of process on such shareholder’s counsel, which may have the effect of discouraging lawsuits against our directors, officers, other employees or shareholders.</w:t>
      </w:r>
    </w:p>
    <w:p>
      <w:pPr>
        <w:spacing w:after="0" w:line="75"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provide that unless the Company consents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the Company, including but not limited to (i) any derivative action or proceeding brought on behalf of the Company, (ii) any action asserting a claim of breach of any fiduciary or other duty owed by any current or former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director, officer, shareholder or other employee of the Company to the Company or the shareholders of the Company, (iii) any action asserting a claim arising pursuant to any provision of the Companies Act or our amended and restated memorandum and articles of association, or (iv) any action asserting a claim against the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the sole and exclusive forum for determination of such a claim.</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also provide that, without prejudice to any other rights or remedies that the Company may have, each shareholder of the Company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choice of forum provision may increase a shareholder’s cost and limit the shareholder’s ability to bring a claim in a judicial forum that it finds favourable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provisions to be inapplicable or unenforceable, and if a court were to find this provision in our amended and restated memorandum and articles of association to be inapplicable or unenforceable in an action, we may incur additional costs associated with resolving the dispute in other jurisdictions, which could have adverse effect on our business and financial performance.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 investment in this offering may result in uncertain or adverse U.S. federal income tax consequences.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w:t>
      </w:r>
      <w:r>
        <w:rPr>
          <w:rFonts w:ascii="Times New Roman" w:cs="Times New Roman" w:eastAsia="Times New Roman" w:hAnsi="Times New Roman"/>
          <w:sz w:val="18"/>
          <w:szCs w:val="18"/>
          <w:i w:val="1"/>
          <w:iCs w:val="1"/>
          <w:color w:val="auto"/>
        </w:rPr>
        <w:t>Taxation—United States Federal Income Tax Considerations</w:t>
      </w:r>
      <w:r>
        <w:rPr>
          <w:rFonts w:ascii="Times New Roman" w:cs="Times New Roman" w:eastAsia="Times New Roman" w:hAnsi="Times New Roman"/>
          <w:sz w:val="18"/>
          <w:szCs w:val="18"/>
          <w:color w:val="auto"/>
        </w:rPr>
        <w:t>”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If, after we distribute the proceeds in the trust account to our public shareholders, we file a bankruptcy or winding up petition or an involuntary bankruptcy or winding up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shareholders, we file a bankruptcy or winding up petition or an involuntary bankruptcy or winding up petition is filed against us that is not dismissed, any distributions received by shareholders could be viewed under applicable debtor/creditor or bankruptcy or insolvency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or having acted in bad faith, thereby exposing itself and us to claims of punitive damages, by paying public shareholders from the trust account prior to addressing the claims of creditors.</w:t>
      </w:r>
    </w:p>
    <w:p>
      <w:pPr>
        <w:spacing w:after="0" w:line="291"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If, before distributing the proceeds in the trust account to our public shareholders, we file a bankruptcy or winding-up petition or an involuntary bankruptcy or winding-up petition is filed against us and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shareholders, we file a bankruptcy or winding-up petition or an involuntary bankruptcy or winding-up petition is filed against us and is not dismissed, the proceeds held in the trust account could be subject to applicable bankruptcy or insolvency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87" w:lineRule="exact"/>
        <w:rPr>
          <w:sz w:val="20"/>
          <w:szCs w:val="20"/>
          <w:color w:val="auto"/>
        </w:rPr>
      </w:pPr>
    </w:p>
    <w:p>
      <w:pPr>
        <w:ind w:left="120" w:right="160"/>
        <w:spacing w:after="0" w:line="259" w:lineRule="auto"/>
        <w:rPr>
          <w:sz w:val="20"/>
          <w:szCs w:val="20"/>
          <w:color w:val="auto"/>
        </w:rPr>
      </w:pPr>
      <w:r>
        <w:rPr>
          <w:rFonts w:ascii="Times New Roman" w:cs="Times New Roman" w:eastAsia="Times New Roman" w:hAnsi="Times New Roman"/>
          <w:sz w:val="18"/>
          <w:szCs w:val="18"/>
          <w:b w:val="1"/>
          <w:bCs w:val="1"/>
          <w:color w:val="auto"/>
        </w:rPr>
        <w:t>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our public shareholders may be forced to wait beyond such 20 months, or such earlier date as our board of directors may approve (or up to 24 months from the closing of this offering if we extend the period of time to consummate a business combination) before redemption from our trust account.</w:t>
      </w:r>
    </w:p>
    <w:p>
      <w:pPr>
        <w:spacing w:after="0" w:line="7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the proceeds then on deposit in the trust account, including interest earned thereon (less taxes payable and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20 months, or such earlier date as our board of directors may approve, from the closing of this offering (or up to 24 months from the closing of this offering if we extend the period of time to consummate a business combination)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or amend certain provisions of our amended and restated memorandum and articles of association prior thereto and only then in cases where investors have sought to require us to redeem their Class A ordinary shares. Only upon our redemption or any liquidation will public shareholders be entitled to distributions if we have not completed our</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initial business combination and have not amended certain provisions of our amended and restated memorandum and articles of association within 20 months, or such earlier date as our board of directors may approve, from the closing of this offering (or up to 24 months from the closing of this offering if we extend the period of time to consummate a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29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shareholders may be held liable for claims by third parties against us to the extent of distributions received by them upon redemption of their shares.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or as having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approximately $18,293 and imprisonment for five years in the Cayman Islands.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not hold an annual shareholder meeting until after the consummation of our initial business combination.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to elect directors. Until we hold an annual shareholder meeting,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shareholder meeting) serving a three-year term.</w:t>
      </w:r>
    </w:p>
    <w:p>
      <w:pPr>
        <w:spacing w:after="0" w:line="287"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registering the issuance of Class A ordinary shares that are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not registering the issuance of Class A ordinary shares that are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issuances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issuances of such shares upon exercise of the warrants are not registered under the Securities Act, we will be required to permit holders to exercise their warrants on a cashless basis in which case, the number of Class A ordinary shares that you will receive upon cashless exercise will be based on a formula. However, no warrant will be exercisable for cash, and we will not be obligated to issue any shares to holders seeking to exercise their warrants, unless the issuance of the shares upon such exercise is registered or qualified under the securities laws of the state of the exercising holder, or unless an exemption is available. In no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3" w:lineRule="auto"/>
        <w:rPr>
          <w:sz w:val="20"/>
          <w:szCs w:val="20"/>
          <w:color w:val="auto"/>
        </w:rPr>
      </w:pPr>
      <w:r>
        <w:rPr>
          <w:rFonts w:ascii="Times New Roman" w:cs="Times New Roman" w:eastAsia="Times New Roman" w:hAnsi="Times New Roman"/>
          <w:sz w:val="18"/>
          <w:szCs w:val="18"/>
          <w:color w:val="auto"/>
        </w:rPr>
        <w:t>event will we be required to net cash settle any warrant, or issue securities or other compensation in exchange for the warrants in the event that we are unable to register or qualify the issuance of such shares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issuance of any underlying securities for sale under all applicable state securities laws.</w:t>
      </w:r>
    </w:p>
    <w:p>
      <w:pPr>
        <w:spacing w:after="0" w:line="296"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color w:val="auto"/>
        </w:rPr>
        <w:t>Our ability to require holders of our warrants to exercise such warrants on a cashless basis after we call the warrants for redemption or if there is no effective registration statement covering the issuance of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7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w:t>
      </w:r>
    </w:p>
    <w:p>
      <w:pPr>
        <w:spacing w:after="0" w:line="29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warrants may become exercisable and redeemable for a security other than the Class A ordinary shares, and there is no information regarding such other security at this time.</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situations, including if we are not the surviving entity in our initial business combination, the warrants may become exercisable for a security other than the Class A ordinary shares. As a result, if the surviving company redeems your warrants for securities pursuant to the warrant agreement, you may receive a security in a company for which there is no information at this time.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may be a passive foreign investment company (“PFIC”), which could result in adverse U.S. federal income tax consequences to 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(or portion thereof) that is included in the holding period of a U.S. Holder (as defined in the section of this prospectus captioned “</w:t>
      </w:r>
      <w:r>
        <w:rPr>
          <w:rFonts w:ascii="Times New Roman" w:cs="Times New Roman" w:eastAsia="Times New Roman" w:hAnsi="Times New Roman"/>
          <w:sz w:val="18"/>
          <w:szCs w:val="18"/>
          <w:i w:val="1"/>
          <w:iCs w:val="1"/>
          <w:color w:val="auto"/>
        </w:rPr>
        <w:t>Taxation—United States Federal Income Tax Considerations—General</w:t>
      </w:r>
      <w:r>
        <w:rPr>
          <w:rFonts w:ascii="Times New Roman" w:cs="Times New Roman" w:eastAsia="Times New Roman" w:hAnsi="Times New Roman"/>
          <w:sz w:val="18"/>
          <w:szCs w:val="18"/>
          <w:color w:val="auto"/>
        </w:rPr>
        <w:t>”)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w:t>
      </w:r>
      <w:r>
        <w:rPr>
          <w:rFonts w:ascii="Times New Roman" w:cs="Times New Roman" w:eastAsia="Times New Roman" w:hAnsi="Times New Roman"/>
          <w:sz w:val="18"/>
          <w:szCs w:val="18"/>
          <w:i w:val="1"/>
          <w:iCs w:val="1"/>
          <w:color w:val="auto"/>
        </w:rPr>
        <w:t>axation—United States Federal Income Tax Considerations—U.S. Holders—Passive Foreign Investment Company Rules</w:t>
      </w:r>
      <w:r>
        <w:rPr>
          <w:rFonts w:ascii="Times New Roman" w:cs="Times New Roman" w:eastAsia="Times New Roman" w:hAnsi="Times New Roman"/>
          <w:sz w:val="18"/>
          <w:szCs w:val="18"/>
          <w:color w:val="auto"/>
        </w:rPr>
        <w:t>”). Depending on the particular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(and if the start-up exception may be applicable, potentially not until after the two taxable years following).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w:t>
      </w:r>
      <w:r>
        <w:rPr>
          <w:rFonts w:ascii="Times New Roman" w:cs="Times New Roman" w:eastAsia="Times New Roman" w:hAnsi="Times New Roman"/>
          <w:sz w:val="18"/>
          <w:szCs w:val="18"/>
          <w:i w:val="1"/>
          <w:iCs w:val="1"/>
          <w:color w:val="auto"/>
        </w:rPr>
        <w:t>Taxation—United States Federal Income Tax Considerations—U.S.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another jurisdiction in connection with our initial business combination and such reincorporation may result in taxes imposed on shareholders or warrant holders.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(or may otherwise result in adverse tax consequences).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291" w:lineRule="exact"/>
        <w:rPr>
          <w:sz w:val="20"/>
          <w:szCs w:val="20"/>
          <w:color w:val="auto"/>
        </w:rPr>
      </w:pPr>
    </w:p>
    <w:p>
      <w:pPr>
        <w:jc w:val="both"/>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2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84"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reincorporate in or transfer by way of continuation to another jurisdiction in connection with our initial business combination, and the laws of such jurisdiction may govern some or all of our future material agreements and we may not be able to enforce our legal rights.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in the trust account could bear a negative rate of interest, which could reduce the value of the assets held in trust such that the per-share redemption amount received by public shareholders may be less than $10.10 per share.</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obligations with a maturity of 185 days or less or in money market funds meeting certain conditions under Rule 2a-7 under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not released to us, net of taxes payable. Negative interest rates could impact the per-share redemption amount that may be received by public shareholders. In addition, we are allowed to remove permitted withdrawals to pay our taxes; this means that even with a positive interest rate, most or all of the interest income may be withdrawn by us and not be available to fund our business combination or to be returned to investors upon a redemption.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are a recently incorporated company with no operating history and no revenues, and you have no basis on which to evaluate our ability to achieve our business objective.</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Past performance by Ares, </w:t>
      </w:r>
      <w:r>
        <w:rPr>
          <w:rFonts w:ascii="Times New Roman" w:cs="Times New Roman" w:eastAsia="Times New Roman" w:hAnsi="Times New Roman"/>
          <w:sz w:val="18"/>
          <w:szCs w:val="18"/>
          <w:b w:val="1"/>
          <w:bCs w:val="1"/>
          <w:i w:val="1"/>
          <w:iCs w:val="1"/>
          <w:color w:val="auto"/>
        </w:rPr>
        <w:t>AAC</w:t>
      </w:r>
      <w:r>
        <w:rPr>
          <w:rFonts w:ascii="Times New Roman" w:cs="Times New Roman" w:eastAsia="Times New Roman" w:hAnsi="Times New Roman"/>
          <w:sz w:val="18"/>
          <w:szCs w:val="18"/>
          <w:b w:val="1"/>
          <w:bCs w:val="1"/>
          <w:color w:val="auto"/>
        </w:rPr>
        <w:t>, or its affiliates or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6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Information regarding performance by, or businesses associated with, Ares, AAC, its affiliates or our directors and executive officers is presented for informational purposes only. Any past experience and performance of Ares or its affiliates, AAC or our directors and executive officers is not a guarantee either: (1) that we will be able to successfully identify a suitable candidate for our initial business combination; or (2) of any results with respect to any initial business combination we may consummate. You should not rely on the historical record of Ares, AAC, its affiliates or our directors and executive officers’ performance as indicative of the future performance of an investment in us, including whether we can provide an attractive return to our shareholders, or as indicative of every prior investment by our directors and executive officers. Ares and our directors and executive officers have had limited experience with blank check companies and special purpose acquisition companies. The market price of our securities may be influenced by numerous factors, many of which are beyond our control, and our shareholders may experience losses on their investment in our securities.</w:t>
      </w:r>
    </w:p>
    <w:p>
      <w:pPr>
        <w:spacing w:after="0" w:line="27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color w:val="auto"/>
        </w:rPr>
        <w:t>Cybersecurity risks and cyber incidents could adversely affect our business by causing a disruption to our operations, a compromise or corruption of our confidential information and confidential information in our possession and/or damage to our business relationships, any of which could negatively impact our business, financial condition and operating results.</w:t>
      </w:r>
    </w:p>
    <w:p>
      <w:pPr>
        <w:spacing w:after="0" w:line="67"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We and our sponsor and its affiliates face increasingly frequent and sophisticated cyber and security threats, with attacks ranging from those common to businesses generally to those that are more advanced and persistent, which may target us because we are affiliated with an alternative asset management firm and may hold confidential and other price sensitive information about existing and potential investments. We depend on digital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technologies, including information systems, infrastructure and cloud applications and services, including those of Ares and its third party vendors, and other third parties. Cyber attacks and other security threats could originate from a wide variety of sources, including cyber criminals, nation state hackers, hacktivists and other outside parties. As a result, we may face a heightened risk of a security breach or disruption with respect to sensitive information resulting from an attack by computer hackers, foreign governments or cyber terrorists.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efficient operation of our business is dependent on computer hardware and software systems, as well as data processing systems and the secure processing, storage and transmission of information, which are vulnerable to security breaches and cyber incidents. 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In addition, we and our employees may be the target of fraudulent emails or other targeted attempts to gain unauthorized access to proprietary or sensitive information. The result of these incidents may include disrupted operations, misstated or unreliable financial data, increased cybersecurity protection and insurance costs, litigation and damage to our business relationships. Any processes, procedures and internal controls we may implement to mitigate cybersecurity risks and cyber intrusions, as well as our increased awareness of the nature and extent of a risk of a cyber-incident, will not guarantee that a cyber-incident will not occur or that our financial results, operations or confidential information will not be negatively impacted by such an incident, especially because the cyber-incident techniques change frequently or are not recognized until launched and because cyber-incidents can originate from a wide variety of sources. We may not have sufficient funding and resources to comply with evolving cybersecurity regulations and to continually monitor and enhance our cybersecurity procedures and controls.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prospectus may constitute “forward-looking statements” within the meaning of Section 27A of the Securities Act, and Section 21E of the Exchange Act which reflect our current views with respect to, among other things, future events, operations and financial performance. Our forward-looking statements include, but are not limited to, statements regarding our or our directors and executive officers’ expectations, hopes, beliefs, intentions or strategies regarding the future. You can identify these forward-looking statements by the use of forward-looking words such as “outlook,” “believes,” “expects,” “potential,” “continues,” “may,” “will,” “should,” “seeks,” “approximately,” “predicts,” “intends,” “plans,” “estimates,” “anticipates”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and uncertainties and assumptions relating to our operations, financial results, financial condition, business prospects, growth strategy and liquidity. Forward-looking statements in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 and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geopolitical events like the conflict in Ukraine, economic impacts such as inflation and rising interest rates and the recent COVID-19 pandemic;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business combination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not being subject to claims of third parties;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and other cautionary statements that are included in this report. If one or more of these or other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offering 10,000,000 units at an offering price of $10.00 per unit. We estimate that the net proceeds of this offering, together with the funds we will receive from the sale of the private placement warrants and the overfunding loans, will be used as set forth in the following table: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60" w:type="dxa"/>
            <w:vAlign w:val="bottom"/>
          </w:tcPr>
          <w:p>
            <w:pPr>
              <w:spacing w:after="0"/>
              <w:rPr>
                <w:sz w:val="13"/>
                <w:szCs w:val="13"/>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Over-allotment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proceeds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Gross proceeds from units offered to public</w:t>
            </w:r>
            <w:r>
              <w:rPr>
                <w:rFonts w:ascii="Times New Roman" w:cs="Times New Roman" w:eastAsia="Times New Roman" w:hAnsi="Times New Roman"/>
                <w:sz w:val="25"/>
                <w:szCs w:val="25"/>
                <w:color w:val="auto"/>
                <w:vertAlign w:val="superscript"/>
              </w:rPr>
              <w:t>(1)</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$100,000,000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115,000,000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 from private placement warrants offered in the private placement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gross proceeds</w:t>
            </w:r>
          </w:p>
        </w:tc>
        <w:tc>
          <w:tcPr>
            <w:tcW w:w="20" w:type="dxa"/>
            <w:vAlign w:val="bottom"/>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107,000,000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122,300,000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3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Offering expenses</w:t>
            </w:r>
            <w:r>
              <w:rPr>
                <w:rFonts w:ascii="Times New Roman" w:cs="Times New Roman" w:eastAsia="Times New Roman" w:hAnsi="Times New Roman"/>
                <w:sz w:val="24"/>
                <w:szCs w:val="24"/>
                <w:color w:val="auto"/>
                <w:vertAlign w:val="superscript"/>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 w:type="dxa"/>
            <w:vAlign w:val="bottom"/>
          </w:tcPr>
          <w:p>
            <w:pPr>
              <w:spacing w:after="0"/>
              <w:rPr>
                <w:sz w:val="17"/>
                <w:szCs w:val="17"/>
                <w:color w:val="auto"/>
              </w:rPr>
            </w:pPr>
          </w:p>
        </w:tc>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commissions (2.0% of gross proceeds from units offered to public,</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638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excluding deferred portion)</w:t>
            </w:r>
            <w:r>
              <w:rPr>
                <w:rFonts w:ascii="Times New Roman" w:cs="Times New Roman" w:eastAsia="Times New Roman" w:hAnsi="Times New Roman"/>
                <w:sz w:val="26"/>
                <w:szCs w:val="26"/>
                <w:color w:val="auto"/>
                <w:vertAlign w:val="superscript"/>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4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SEC/FINRA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1,909,577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offering expenses (other than underwriting discounts)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Proceeds after offering expenses</w:t>
            </w:r>
          </w:p>
        </w:tc>
        <w:tc>
          <w:tcPr>
            <w:tcW w:w="20" w:type="dxa"/>
            <w:vAlign w:val="bottom"/>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$102,500,000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117,500,000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Proceeds from overfunding loans</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440"/>
              <w:spacing w:after="0" w:line="250" w:lineRule="exact"/>
              <w:rPr>
                <w:sz w:val="20"/>
                <w:szCs w:val="20"/>
                <w:color w:val="auto"/>
              </w:rPr>
            </w:pPr>
            <w:r>
              <w:rPr>
                <w:rFonts w:ascii="Times New Roman" w:cs="Times New Roman" w:eastAsia="Times New Roman" w:hAnsi="Times New Roman"/>
                <w:sz w:val="18"/>
                <w:szCs w:val="18"/>
                <w:color w:val="auto"/>
              </w:rPr>
              <w:t>Held in trust account</w:t>
            </w:r>
            <w:r>
              <w:rPr>
                <w:rFonts w:ascii="Times New Roman" w:cs="Times New Roman" w:eastAsia="Times New Roman" w:hAnsi="Times New Roman"/>
                <w:sz w:val="26"/>
                <w:szCs w:val="26"/>
                <w:color w:val="auto"/>
                <w:vertAlign w:val="superscript"/>
              </w:rPr>
              <w:t>(3)</w:t>
            </w:r>
          </w:p>
        </w:tc>
        <w:tc>
          <w:tcPr>
            <w:tcW w:w="6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$101,000,000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116,150,000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public offering size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 account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8240" w:type="dxa"/>
            <w:vAlign w:val="bottom"/>
            <w:gridSpan w:val="7"/>
          </w:tcPr>
          <w:p>
            <w:pPr>
              <w:jc w:val="right"/>
              <w:ind w:right="1080"/>
              <w:spacing w:after="0"/>
              <w:rPr>
                <w:sz w:val="20"/>
                <w:szCs w:val="20"/>
                <w:color w:val="auto"/>
              </w:rPr>
            </w:pPr>
            <w:r>
              <w:rPr>
                <w:rFonts w:ascii="Times New Roman" w:cs="Times New Roman" w:eastAsia="Times New Roman" w:hAnsi="Times New Roman"/>
                <w:sz w:val="18"/>
                <w:szCs w:val="18"/>
                <w:color w:val="auto"/>
                <w:w w:val="98"/>
              </w:rPr>
              <w:t>The following table shows the use of the $2,500,000 of net proceeds not held in the trust account.</w:t>
            </w:r>
            <w:r>
              <w:rPr>
                <w:rFonts w:ascii="Times New Roman" w:cs="Times New Roman" w:eastAsia="Times New Roman" w:hAnsi="Times New Roman"/>
                <w:sz w:val="26"/>
                <w:szCs w:val="26"/>
                <w:color w:val="auto"/>
                <w:w w:val="98"/>
                <w:vertAlign w:val="superscript"/>
              </w:rPr>
              <w:t>(5)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4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63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Legal, accounting, due diligence, travel, and other expenses in connection with any</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638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business combination</w:t>
            </w:r>
            <w:r>
              <w:rPr>
                <w:rFonts w:ascii="Times New Roman" w:cs="Times New Roman" w:eastAsia="Times New Roman" w:hAnsi="Times New Roman"/>
                <w:sz w:val="26"/>
                <w:szCs w:val="26"/>
                <w:color w:val="auto"/>
                <w:vertAlign w:val="superscript"/>
              </w:rPr>
              <w:t>(6)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related to regulatory reporting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office space, administrative and support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NYSE continued listing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Director and Officer liability insurance premiums</w:t>
            </w:r>
            <w:r>
              <w:rPr>
                <w:rFonts w:ascii="Times New Roman" w:cs="Times New Roman" w:eastAsia="Times New Roman" w:hAnsi="Times New Roman"/>
                <w:sz w:val="25"/>
                <w:szCs w:val="25"/>
                <w:color w:val="auto"/>
                <w:vertAlign w:val="superscript"/>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246,660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payable to public shareholders who properly elect to redeem their shares in connection with our successful completion of our initial business combination.</w:t>
      </w:r>
    </w:p>
    <w:p>
      <w:pPr>
        <w:ind w:left="540" w:right="60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will be paid from the proceeds of loans from our sponsor of up to $400,000. As of December 31, 2022, $233,243 is outstanding under the promissory note with our sponsor.</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55"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60"/>
        <w:spacing w:after="0" w:line="255" w:lineRule="auto"/>
        <w:rPr>
          <w:sz w:val="20"/>
          <w:szCs w:val="20"/>
          <w:color w:val="auto"/>
        </w:rPr>
      </w:pPr>
      <w:r>
        <w:rPr>
          <w:rFonts w:ascii="Times New Roman" w:cs="Times New Roman" w:eastAsia="Times New Roman" w:hAnsi="Times New Roman"/>
          <w:sz w:val="18"/>
          <w:szCs w:val="18"/>
          <w:color w:val="auto"/>
        </w:rPr>
        <w:t>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sz w:val="20"/>
          <w:szCs w:val="20"/>
          <w:color w:val="auto"/>
        </w:rPr>
      </w:pPr>
    </w:p>
    <w:p>
      <w:pPr>
        <w:ind w:left="540" w:right="20" w:hanging="419"/>
        <w:spacing w:after="0" w:line="250" w:lineRule="auto"/>
        <w:tabs>
          <w:tab w:leader="none" w:pos="520" w:val="left"/>
        </w:tabs>
        <w:rPr>
          <w:sz w:val="20"/>
          <w:szCs w:val="20"/>
          <w:color w:val="auto"/>
        </w:rPr>
      </w:pPr>
      <w:r>
        <w:rPr>
          <w:rFonts w:ascii="Times New Roman" w:cs="Times New Roman" w:eastAsia="Times New Roman" w:hAnsi="Times New Roman"/>
          <w:sz w:val="18"/>
          <w:szCs w:val="18"/>
          <w:color w:val="auto"/>
        </w:rPr>
        <w:t>(3)</w:t>
        <w:tab/>
        <w:t>The fee for Ares Management Capital Markets LLC in the amount of $ (or $ if the underwriters’ over-allotment option is exercised in full) will be reimbursed from a portion of the $3,500,000 (or $4,025,000 if the underwriters’ over-allotment option is exercised in full) underwriting fee payable to the underwriters upon the closing of this offering. The underwriters have agreed to defer underwriting commissions of 3.5% of the gross proceeds of this offering. Upon and concurrently with the completion of our initial business combination, $3,500,000, which constitutes the underwriters’ deferred commissions (or $4,025,000 if the underwriters’ over-allotment option is exercised in full) will be paid to the underwriters from the funds held in the trust account.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this offering, our sponsor will make a non-interest bearing and unsecured loan to us in the amount of</w:t>
      </w:r>
    </w:p>
    <w:p>
      <w:pPr>
        <w:spacing w:after="0" w:line="9" w:lineRule="exact"/>
        <w:rPr>
          <w:rFonts w:ascii="Times New Roman" w:cs="Times New Roman" w:eastAsia="Times New Roman" w:hAnsi="Times New Roman"/>
          <w:sz w:val="18"/>
          <w:szCs w:val="18"/>
          <w:color w:val="auto"/>
        </w:rPr>
      </w:pPr>
    </w:p>
    <w:p>
      <w:pPr>
        <w:jc w:val="both"/>
        <w:ind w:left="5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(and up to an additional $150,000 if the underwriters’ over-allotment option is exercised in full) which shall be deposited in the trust account along with the net proceeds of this offering and the sale of the private placement warrants for the benefit of our shareholders whom elect to redeem their shares for cash. The loan will be convertible into warrants of the post-business combination entity at a price of $1.00 per warrant or repaid in cash upon the closing of our initial business combination (or any combination thereof) at the option of our sponsor.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3.0% per year, we estimate the interest earned on the trust account will be approximately $3,000,000 per year; however, we can provide no assurances regarding this amount.</w:t>
      </w:r>
    </w:p>
    <w:p>
      <w:pPr>
        <w:spacing w:after="0" w:line="4" w:lineRule="exact"/>
        <w:rPr>
          <w:rFonts w:ascii="Times New Roman" w:cs="Times New Roman" w:eastAsia="Times New Roman" w:hAnsi="Times New Roman"/>
          <w:sz w:val="18"/>
          <w:szCs w:val="18"/>
          <w:color w:val="auto"/>
        </w:rPr>
      </w:pPr>
    </w:p>
    <w:p>
      <w:pPr>
        <w:ind w:left="540" w:right="760" w:hanging="424"/>
        <w:spacing w:after="0" w:line="25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amounts that may also be used in connection with our initial business combination to fund a “no shop” provision and commitment fees for financing.</w:t>
      </w:r>
    </w:p>
    <w:p>
      <w:pPr>
        <w:ind w:left="540" w:hanging="424"/>
        <w:spacing w:after="0" w:line="260"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approximate amount of annualized director and officer liability insurance premiums we anticipate paying following the completion of this offering and until we complete a business combination.</w:t>
      </w:r>
    </w:p>
    <w:p>
      <w:pPr>
        <w:spacing w:after="0" w:line="18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Of the $108,000,000 in proceeds we receive from this offering, the sale of the private placement warrants and the overfunding loans as described in this prospectus, or $123,450,000 if the underwriters’ over-allotment option is exercised in full, $101,000,000 ($10.10 per unit), or $116,150,000 if the underwriters’ over-allotment option is exercised in full ($10.10 per unit), will be deposited into a trust account with Continental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Transfer &amp; Trust Company acting as trustee, and $7,000,000, or $7,300,000 if the underwriters’ over-allotment option is exercised in full,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taxes, if any, (less up to $100,000 of interest to pay dissolution expenses) until the earliest to occur of: (i) the completion of our initial business combination or earlier at our option;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as described in this prospectus), or (B) with respect to any other material provisions relating to shareholders’ rights or pre-initial business combination activity; or (iii) the inability to complete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pacing w:after="0" w:line="17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directors or executive officers or any of their affiliates, but such persons are not under any obligation to advance funds to, or invest in, us.</w:t>
      </w:r>
    </w:p>
    <w:p>
      <w:pPr>
        <w:spacing w:after="0" w:line="187"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will reimburse an affiliate of our sponsor for office space, secretarial and administrative services provided to our directors and executive officers, in the amount of $16,667 per month. Upon completion of our initial business combination or our liquidation, we will cease paying these monthly fees.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of this offering, our sponsor has agreed to loan us up to $400,000 to be used for a portion of the expenses of this offering. As of December 31, 2022, $233,243 is outstanding under the promissory note with our sponsor. These loans are non-interest bearing, unsecured and are due at the earlier of December 31, 2023, or the closing of this offering. The loan will be repaid upon the closing of this offering out of the offering proceeds not held in the trust account.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from our trust account would be used to repay such loaned amounts. Up to $2,000,000 of such working capital loans may be convertible into warrants of the post business combination entity at a price of $1.00 per warrant at the option of the lender. The warrants would be identical to the private placement warrants. Except as set forth above, the terms of such working capital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will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 to an aggregate of</w:t>
      </w:r>
    </w:p>
    <w:p>
      <w:pPr>
        <w:ind w:left="120"/>
        <w:spacing w:after="0"/>
        <w:tabs>
          <w:tab w:leader="none" w:pos="6520" w:val="left"/>
          <w:tab w:leader="none" w:pos="7620" w:val="left"/>
        </w:tabs>
        <w:rPr>
          <w:sz w:val="20"/>
          <w:szCs w:val="20"/>
          <w:color w:val="auto"/>
        </w:rPr>
      </w:pPr>
      <w:r>
        <w:rPr>
          <w:rFonts w:ascii="Times New Roman" w:cs="Times New Roman" w:eastAsia="Times New Roman" w:hAnsi="Times New Roman"/>
          <w:sz w:val="18"/>
          <w:szCs w:val="18"/>
          <w:color w:val="auto"/>
        </w:rPr>
        <w:t>24 months, by depositing into the trust account for 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7"/>
          <w:szCs w:val="17"/>
          <w:color w:val="auto"/>
        </w:rPr>
        <w:t>if the underwriters’ over-allotment option is</w:t>
      </w:r>
    </w:p>
    <w:p>
      <w:pPr>
        <w:spacing w:after="0" w:line="9"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exercised in full ($0. per public share in either case). In this case, shareholders will not be offered an opportunity to vote on an extension and holders of Class A ordinary shares will not be offered an opportunity to redeem their shares.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 Contributor will contribute to us, as a loan upon five days’ advance notice prior the end of each applicable deadline, the deposit for each two-month period. In the event the company intends to effect an extension, we will issue a press release 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we will effect a share capitalization or a share contribution back to capital or other appropriate mechanism, as applicable, with respect to our Class B ordinary shares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320" w:top="455" w:right="5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December 31, 2022, our net tangible book deficit was $(503,634), or approximately $(0.18) per ordinary share. After giving effect to the sale of 10,000,000 Class A ordinary shares included in the units we are offering by this prospectus (or 11,500,000 Class A ordinary shares if the underwriters’ over-allotment option is exercised in full), the sale of the private placement warrants, the overfunding loan and the deduction of underwriting commissions and estimated expenses of this offering, our pro forma net tangible book value at December 31, 2022 would have been $(992,239) or $(0.40) per share (or $(1,517,239) or $(0.53) per share if the underwriters’ over-allotment option is exercised in full), representing an immediate decrease in net tangible book value (as decreased by the value of 10,000,000 Class A ordinary shares that may be redeemed for cash, or 11,500,000 Class A ordinary shares if the underwriters’ over-allotment option is exercised in full) of $0.22 per share (or $0.35 per share if the underwriters’ over-allotment option is exercised in full) to our sponsor as of the date of this prospectus and an immediate dilution to public shareholders from this offering of $10.00 per share. Total dilution to public shareholders from this offering will be $10.40 per share (or $10.53 if the underwriters’ over-allotment option is exercised in full).</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public shareholders on a per-share basis, assuming no value is attributed to the warrants included in the units or the private placement warrants: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6"/>
              </w:rPr>
              <w:t>Without</w:t>
            </w:r>
          </w:p>
        </w:tc>
        <w:tc>
          <w:tcPr>
            <w:tcW w:w="480" w:type="dxa"/>
            <w:vAlign w:val="bottom"/>
          </w:tcPr>
          <w:p>
            <w:pPr>
              <w:spacing w:after="0"/>
              <w:rPr>
                <w:sz w:val="13"/>
                <w:szCs w:val="13"/>
                <w:color w:val="auto"/>
              </w:rPr>
            </w:pPr>
          </w:p>
        </w:tc>
        <w:tc>
          <w:tcPr>
            <w:tcW w:w="11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9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6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9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8"/>
              </w:rPr>
              <w:t>$(0.18)</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w w:val="98"/>
              </w:rPr>
              <w:t>$(0.18)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public shareholders</w:t>
            </w:r>
          </w:p>
        </w:tc>
        <w:tc>
          <w:tcPr>
            <w:tcW w:w="9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(0.22)</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(0.35)</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placement warrants</w:t>
            </w:r>
          </w:p>
        </w:tc>
        <w:tc>
          <w:tcPr>
            <w:tcW w:w="960" w:type="dxa"/>
            <w:vAlign w:val="bottom"/>
            <w:gridSpan w:val="2"/>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4"/>
              </w:rPr>
              <w:t>$ (0.40)</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public shareholders</w:t>
            </w:r>
          </w:p>
        </w:tc>
        <w:tc>
          <w:tcPr>
            <w:tcW w:w="9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10.40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10.53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public shareholders</w:t>
            </w:r>
          </w:p>
        </w:tc>
        <w:tc>
          <w:tcPr>
            <w:tcW w:w="9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20" w:type="dxa"/>
            <w:vAlign w:val="bottom"/>
            <w:gridSpan w:val="2"/>
            <w:vMerge w:val="continue"/>
          </w:tcPr>
          <w:p>
            <w:pPr>
              <w:spacing w:after="0"/>
              <w:rPr>
                <w:sz w:val="18"/>
                <w:szCs w:val="18"/>
                <w:color w:val="auto"/>
              </w:rPr>
            </w:pPr>
          </w:p>
        </w:tc>
        <w:tc>
          <w:tcPr>
            <w:tcW w:w="960" w:type="dxa"/>
            <w:vAlign w:val="bottom"/>
            <w:gridSpan w:val="2"/>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104.0%</w:t>
            </w:r>
          </w:p>
        </w:tc>
        <w:tc>
          <w:tcPr>
            <w:tcW w:w="960" w:type="dxa"/>
            <w:vAlign w:val="bottom"/>
            <w:gridSpan w:val="2"/>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purposes of presentation, we have reduced our pro forma net tangible book value after this offering (assuming no exercise of the underwriters’ over-allotment option) by $100,000,000 because holders of our public shares may elect to have their shares redeemed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thereon (less taxes payable and up to $100,000 of interest to pay dissolution expenses) divided by the number of the then-outstanding public shares).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sponsor and the public shareholders: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00" w:type="dxa"/>
            <w:vAlign w:val="bottom"/>
            <w:vMerge w:val="restart"/>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79"/>
        </w:trPr>
        <w:tc>
          <w:tcPr>
            <w:tcW w:w="5420" w:type="dxa"/>
            <w:vAlign w:val="bottom"/>
          </w:tcPr>
          <w:p>
            <w:pPr>
              <w:spacing w:after="0"/>
              <w:rPr>
                <w:sz w:val="6"/>
                <w:szCs w:val="6"/>
                <w:color w:val="auto"/>
              </w:rPr>
            </w:pPr>
          </w:p>
        </w:tc>
        <w:tc>
          <w:tcPr>
            <w:tcW w:w="192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50"/>
        </w:trPr>
        <w:tc>
          <w:tcPr>
            <w:tcW w:w="5420" w:type="dxa"/>
            <w:vAlign w:val="bottom"/>
          </w:tcPr>
          <w:p>
            <w:pPr>
              <w:spacing w:after="0"/>
              <w:rPr>
                <w:sz w:val="4"/>
                <w:szCs w:val="4"/>
                <w:color w:val="auto"/>
              </w:rPr>
            </w:pPr>
          </w:p>
        </w:tc>
        <w:tc>
          <w:tcPr>
            <w:tcW w:w="8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spacing w:after="0"/>
              <w:rPr>
                <w:sz w:val="4"/>
                <w:szCs w:val="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500" w:type="dxa"/>
            <w:vAlign w:val="bottom"/>
            <w:vMerge w:val="restart"/>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Class B Ordinary Shares</w:t>
            </w:r>
            <w:r>
              <w:rPr>
                <w:rFonts w:ascii="Times New Roman" w:cs="Times New Roman" w:eastAsia="Times New Roman" w:hAnsi="Times New Roman"/>
                <w:sz w:val="24"/>
                <w:szCs w:val="24"/>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Public Shareholders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100,000,000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99.98%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12,500,000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100,025,000</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200" w:hanging="424"/>
        <w:spacing w:after="0" w:line="282"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375,000 Class B ordinary shares held by our sponsor.</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 forma net tangible book value per share after the offering (assuming that the underwriters do not exercise their over-allotment option) is calculated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With</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380" w:type="dxa"/>
            <w:vAlign w:val="bottom"/>
          </w:tcPr>
          <w:p>
            <w:pPr>
              <w:spacing w:after="0"/>
              <w:rPr>
                <w:sz w:val="15"/>
                <w:szCs w:val="15"/>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(503,634)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(503,634)</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this offering, sale of the private</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7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placement warrants and overfunding loans</w:t>
            </w:r>
            <w:r>
              <w:rPr>
                <w:rFonts w:ascii="Times New Roman" w:cs="Times New Roman" w:eastAsia="Times New Roman" w:hAnsi="Times New Roman"/>
                <w:sz w:val="26"/>
                <w:szCs w:val="26"/>
                <w:color w:val="auto"/>
                <w:vertAlign w:val="superscript"/>
              </w:rPr>
              <w:t>(1)</w:t>
            </w: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103,500,000</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Plus: Offering costs paid in advance, excluded from tangible book value</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511,395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before this offering</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511,395</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underwriting commissions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(3,500,000)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(4,025,000)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Less: Proceeds held in trust subject to redemption</w:t>
            </w:r>
            <w:r>
              <w:rPr>
                <w:rFonts w:ascii="Times New Roman" w:cs="Times New Roman" w:eastAsia="Times New Roman" w:hAnsi="Times New Roman"/>
                <w:sz w:val="25"/>
                <w:szCs w:val="25"/>
                <w:color w:val="auto"/>
                <w:vertAlign w:val="superscript"/>
              </w:rPr>
              <w:t>(2)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(101,000,000)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(116,150,000)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(992,239)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(1,517,239)</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this offering</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forfeited if over-allotment is not exercised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(375,000)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included in the units offered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Ordinary shares subject to redemption</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(10,000,000)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(11,500,000)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2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applied against gross proceeds include offering expenses of $2,500,000 and underwriting commissions of $2,000,000 or $2,300,000 if the underwriters exercise their over-allotment option (excluding deferred underwriting fees).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ind w:left="540" w:right="40" w:hanging="424"/>
        <w:spacing w:after="0" w:line="25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w:t>
      </w:r>
      <w:r>
        <w:rPr>
          <w:rFonts w:ascii="Times New Roman" w:cs="Times New Roman" w:eastAsia="Times New Roman" w:hAnsi="Times New Roman"/>
          <w:sz w:val="18"/>
          <w:szCs w:val="18"/>
          <w:i w:val="1"/>
          <w:iCs w:val="1"/>
          <w:color w:val="auto"/>
        </w:rPr>
        <w:t>Proposed Business Effecting Our Initial Business Combination—Permitted Purchases of Our Securities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December 31, 2022, and as adjusted to give effect to the filing of our amended and restated memorandum and articles of association, the sale of our units in this offering, the private placement warrants and the overfunding loans and the application of the estimated net proceeds derived from the sale of such securities: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2"/>
        </w:trPr>
        <w:tc>
          <w:tcPr>
            <w:tcW w:w="6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2"/>
                <w:szCs w:val="12"/>
                <w:color w:val="auto"/>
              </w:rPr>
            </w:pPr>
          </w:p>
        </w:tc>
      </w:tr>
      <w:tr>
        <w:trPr>
          <w:trHeight w:val="209"/>
        </w:trPr>
        <w:tc>
          <w:tcPr>
            <w:tcW w:w="6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Note payable to related party</w:t>
            </w:r>
            <w:r>
              <w:rPr>
                <w:rFonts w:ascii="Times New Roman" w:cs="Times New Roman" w:eastAsia="Times New Roman" w:hAnsi="Times New Roman"/>
                <w:sz w:val="24"/>
                <w:szCs w:val="24"/>
                <w:color w:val="auto"/>
                <w:vertAlign w:val="superscript"/>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233,243</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Overfunding loans</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3,500,000</w:t>
            </w:r>
          </w:p>
        </w:tc>
      </w:tr>
      <w:tr>
        <w:trPr>
          <w:trHeight w:val="205"/>
        </w:trPr>
        <w:tc>
          <w:tcPr>
            <w:tcW w:w="6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and adjusted; 0 and 10,000,000 Class A ordinary shares are subject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02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to possible redemption, actual and adjusted, respectively</w:t>
            </w:r>
            <w:r>
              <w:rPr>
                <w:rFonts w:ascii="Times New Roman" w:cs="Times New Roman" w:eastAsia="Times New Roman" w:hAnsi="Times New Roman"/>
                <w:sz w:val="26"/>
                <w:szCs w:val="26"/>
                <w:color w:val="auto"/>
                <w:vertAlign w:val="superscript"/>
              </w:rPr>
              <w:t>(4)</w:t>
            </w:r>
          </w:p>
        </w:tc>
        <w:tc>
          <w:tcPr>
            <w:tcW w:w="100" w:type="dxa"/>
            <w:vAlign w:val="bottom"/>
          </w:tcPr>
          <w:p>
            <w:pPr>
              <w:spacing w:after="0"/>
              <w:rPr>
                <w:sz w:val="20"/>
                <w:szCs w:val="20"/>
                <w:color w:val="auto"/>
              </w:rPr>
            </w:pPr>
          </w:p>
        </w:tc>
        <w:tc>
          <w:tcPr>
            <w:tcW w:w="11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100,000,000</w:t>
            </w:r>
          </w:p>
        </w:tc>
      </w:tr>
      <w:tr>
        <w:trPr>
          <w:trHeight w:val="198"/>
        </w:trPr>
        <w:tc>
          <w:tcPr>
            <w:tcW w:w="6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Preference shares, $0.0001 par value; 1,000,000 preference shares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actual and adjusted; 0 preference shares issued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30,000,000 shares authorized,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actual and as adjusted; 2,875,000 and 2,500,000 Class B ordinary shares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actual and as adjusted, respectively</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(992,489)</w:t>
            </w: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(992,239)</w:t>
            </w: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242,204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103,507,761</w:t>
            </w:r>
          </w:p>
        </w:tc>
        <w:tc>
          <w:tcPr>
            <w:tcW w:w="12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40" w:hanging="424"/>
        <w:spacing w:after="0" w:line="261"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corresponding forfeiture of 375,000 Class B ordinary shares held by our sponsor.</w:t>
      </w:r>
    </w:p>
    <w:p>
      <w:pPr>
        <w:ind w:left="5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has agreed to loan us up to $400,000 to be used for a portion of the expenses of this offering. As of December 31, 2022, $233,243 is outstanding under the promissory note with our sponsor.</w:t>
      </w:r>
    </w:p>
    <w:p>
      <w:pPr>
        <w:ind w:left="540" w:right="40" w:hanging="424"/>
        <w:spacing w:after="0" w:line="25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a non-interest bearing and unsecured loan from the sponsor in the amount $1,000,000 (and up to an additional $150,000 if the underwriters’ over-allotment option is exercised in full) which shall be deposited in the trust account along with the net proceeds of this offering and the sale of the private placement warrants for the benefit of our shareholders whom elect to redeem their shares for cash. The loan will be</w:t>
      </w:r>
    </w:p>
    <w:p>
      <w:pPr>
        <w:spacing w:after="0" w:line="1" w:lineRule="exact"/>
        <w:rPr>
          <w:sz w:val="20"/>
          <w:szCs w:val="20"/>
          <w:color w:val="auto"/>
        </w:rPr>
      </w:pPr>
    </w:p>
    <w:p>
      <w:pPr>
        <w:ind w:left="540" w:right="120"/>
        <w:spacing w:after="0" w:line="250" w:lineRule="auto"/>
        <w:rPr>
          <w:sz w:val="20"/>
          <w:szCs w:val="20"/>
          <w:color w:val="auto"/>
        </w:rPr>
      </w:pPr>
      <w:r>
        <w:rPr>
          <w:rFonts w:ascii="Times New Roman" w:cs="Times New Roman" w:eastAsia="Times New Roman" w:hAnsi="Times New Roman"/>
          <w:sz w:val="18"/>
          <w:szCs w:val="18"/>
          <w:color w:val="auto"/>
        </w:rPr>
        <w:t>convertible into warrants of the post-business combination entity at a price of $1.00 per warrant or repaid in cash upon the closing of our initial business combination (or any combination thereof) at the option of our sponsor.</w:t>
      </w:r>
    </w:p>
    <w:p>
      <w:pPr>
        <w:spacing w:after="0" w:line="1" w:lineRule="exact"/>
        <w:rPr>
          <w:sz w:val="20"/>
          <w:szCs w:val="20"/>
          <w:color w:val="auto"/>
        </w:rPr>
      </w:pPr>
    </w:p>
    <w:p>
      <w:pPr>
        <w:ind w:left="5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shareholders with the opportunity to require us to redeem their public shares for cash at a per share price equal to the aggregate amount then on deposit in the trust account calculated as of two business days prior to the consummation of the initial business combination, including interest earned thereon (less taxes payable), divided by the number of the then-outstanding public shares, subject to the limitations created by the terms of the proposed business combination.</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320" w:top="455" w:right="5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We have not selected any business combination target and we have not, nor has anyone on our behalf, initiated any substantive discussions, directly or indirectly, with any business combination target. The issuance of additional shares in a business combination:</w:t>
      </w:r>
    </w:p>
    <w:p>
      <w:pPr>
        <w:spacing w:after="0" w:line="85" w:lineRule="exact"/>
        <w:rPr>
          <w:sz w:val="20"/>
          <w:szCs w:val="20"/>
          <w:color w:val="auto"/>
        </w:rPr>
      </w:pPr>
    </w:p>
    <w:p>
      <w:pPr>
        <w:ind w:left="1080" w:right="14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ordinary shares if preference shares are issued with rights senior to those afforded our Class A ordinary shares;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ordinary shares or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result in adjustment to the exercise price of our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it could result in:</w:t>
      </w:r>
    </w:p>
    <w:p>
      <w:pPr>
        <w:spacing w:after="0" w:line="131" w:lineRule="exact"/>
        <w:rPr>
          <w:sz w:val="20"/>
          <w:szCs w:val="20"/>
          <w:color w:val="auto"/>
        </w:rPr>
      </w:pPr>
    </w:p>
    <w:p>
      <w:pPr>
        <w:ind w:left="1080" w:right="5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ordinary shares;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or prevailing interest rates; and</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as of December 31, 2022, we had no cash and deferred offering costs of approximately $511,395. Further, we expect to incur significant costs in the pursuit of our initial business combination. We cannot assure you that our plans to raise capital or to complete our initial business combination will be successful.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liquidity needs have been satisfied prior to the completion of this offering through receipt of (i) a $25,000 capital contribution from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sponsor in exchange for the issuance of the founder shares to our sponsor and (ii) and loans to us of up to $400,000 by our sponsor under an unsecured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promissory note. As of December 31, 2022, $233,243 is outstanding under the unsecured promissory note. We estimate that the net proceeds from (i)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 of the units in this offering, after deducting offering expenses of $2,500,000, underwriting commissions of $2,000,000, or $2,300,000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(excluding deferred underwriting commissions of $3,500,000, or $4,025,000 if the underwriters’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over-allotment option is exercised in full), (ii) the sale of the private placement warrants for a purchase price of $7,000,000 (or $7,300,000 if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underwriters’ over-allotment option is exercised in full) and (iii) the overfunding loans of $1,000,000 (or $1,150,000 if the underwriters’ over-allotment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is exercised in full) will be $103,500,000 (or $118,650,000 if the underwriters’ over-allotment option is exercised in full). $101,000,000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$116,150,000 if the underwriters’ over-allotment option is exercised in full) will be held in the trust account, which includes the deferred underwriting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commissions described above. The proceeds held in the trust account will be invested only in U.S. government treasury obligations with a maturity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under the Investment Company Act which invest only in direct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government treasury obligations. The remaining $2,500,000 will not be held in the trust account. In the event that our offering expenses exceed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 of $2,500,000, we may fund such excess with funds not to be held in the trust account. In such case, the amount of funds we intend to be held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outside the trust account would decrease by a corresponding amount. Conversely, in the event that the offering expenses are less than our estimate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$2,500,000, the amount of funds we intend to be held outside the trust account would increase by a corresponding amount.</w:t>
      </w:r>
    </w:p>
    <w:p>
      <w:pPr>
        <w:spacing w:after="0" w:line="20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taxes, if any. Our annual income tax obligations will depend on the amount of interest and other income earned on the amounts held in the trust account. We expect the interest income earned on the amount in the trust account (if any) will be sufficient to pay our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7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we will have available to us the $2,500,000 of proceeds held outside the trust account, as well as certain funds from loans from our sponsor. We will use these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$2,000,000 of such loans may be convertible into warrants of the post 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$1,160,000 for legal, accounting, due diligence, travel and other expenses associated with structuring, negotiating and documenting prospective business combinations; $175,000 for legal and accounting fees related to regulatory reporting requirements; $333,340 for office space, administrative and support services; $85,000 for NYSE continued listing fees; $500,000 for director and officer liability insurance premiums; and $246,660 for general working capital that will be used for miscellaneous expenses and reserves.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have not completed our initial business combination within 20 months, or such earlier date as our board of directors may approve, from the closing of this offering (or up to 24 months from the closing of this offering if we extend the period of time to consummate a business combination) because we do not have sufficient funds available to us, we will be forced to cease operations and liquidate the trust account.</w:t>
      </w:r>
    </w:p>
    <w:p>
      <w:pPr>
        <w:spacing w:after="0" w:line="187" w:lineRule="exact"/>
        <w:rPr>
          <w:sz w:val="20"/>
          <w:szCs w:val="20"/>
          <w:color w:val="auto"/>
        </w:rPr>
      </w:pPr>
    </w:p>
    <w:p>
      <w:pPr>
        <w:ind w:left="560"/>
        <w:spacing w:after="0"/>
        <w:tabs>
          <w:tab w:leader="none" w:pos="10800" w:val="left"/>
        </w:tabs>
        <w:rPr>
          <w:sz w:val="20"/>
          <w:szCs w:val="20"/>
          <w:color w:val="auto"/>
        </w:rPr>
      </w:pPr>
      <w:r>
        <w:rPr>
          <w:rFonts w:ascii="Times New Roman" w:cs="Times New Roman" w:eastAsia="Times New Roman" w:hAnsi="Times New Roman"/>
          <w:sz w:val="18"/>
          <w:szCs w:val="18"/>
          <w:color w:val="auto"/>
        </w:rPr>
        <w:t>If we need to extend the time available for us to consummate our initial business transaction, we may deposit into the trust account $</w:t>
      </w:r>
      <w:r>
        <w:rPr>
          <w:sz w:val="20"/>
          <w:szCs w:val="20"/>
          <w:color w:val="auto"/>
        </w:rPr>
        <w:tab/>
      </w:r>
      <w:r>
        <w:rPr>
          <w:rFonts w:ascii="Times New Roman" w:cs="Times New Roman" w:eastAsia="Times New Roman" w:hAnsi="Times New Roman"/>
          <w:sz w:val="17"/>
          <w:szCs w:val="17"/>
          <w:color w:val="auto"/>
        </w:rPr>
        <w:t>, or</w:t>
      </w:r>
    </w:p>
    <w:p>
      <w:pPr>
        <w:spacing w:after="0" w:line="27" w:lineRule="exact"/>
        <w:rPr>
          <w:sz w:val="20"/>
          <w:szCs w:val="20"/>
          <w:color w:val="auto"/>
        </w:rPr>
      </w:pPr>
    </w:p>
    <w:p>
      <w:pPr>
        <w:ind w:left="920" w:hanging="804"/>
        <w:spacing w:after="0"/>
        <w:tabs>
          <w:tab w:leader="none" w:pos="9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underwriters’ over-allotment option is exercised in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full ($0. per public share in either case), on or prior to the date of the applicable deadline for each of the available two-month extensions. If we do not have sufficient funds to make such deposits into the trust account, the Contributor will contribute to us, as a loan upon five days’ advance notice prior the end of each applicable deadline, the deposit for each two-month period. In the event the company intends to effect an extension, we will issue a press release 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 Oxley Act for the fiscal year ending December 31, 2024.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9"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80"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net proceeds of this offering, the sale of the private placement warrants and the overfunding loans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 blank check company incorporated as a Cayman Islands exempted company for the purpose of effecting a merger, share exchange, asset acquisition, share purchase, reorganization or similar business combination with one or more businesses, which we refer to as our initial business combination. Our only activities since inception have been organizational activities and those necessary to prepare for this offering. We have not selected any business combination target and we have not, nor has anyone on our behalf, initiated any substantive discussions, directly or indirectly, with any business combination target. Our team has a history of executing transactions in multiple geographies and under varying economic and financial market conditions. Although we may pursue an acquisition in a number of industries or geographies, we intend to capitalize on the broader Ares platform where we believe a combination of our relationships, knowledge and experience across industries can effect a positive transformation or augmentation of an existing business.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sponsor is an affiliate of Ares, a leading global alternative investment adviser. Given Ares’ investment capabilities, we believe our team has the required investment, operational, due diligence and capital raising resources to effect a business combination with an attractive target and to position it for long-term success in the public markets.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may pursue an initial business combination target in any industry or sector, geography, or stage of its corporate evolution, we intend to focus our search in North America, Europe or Asia. We will pursue an initial business combination with an established business with scale, attractive growth prospects and sustainable competitive advantages. We believe there is a large universe of such businesses that could benefit from a public listing, and that we will be able to offer a differentiated and compelling value proposition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Sponsor and Ares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sponsor is an affiliate of Ares, a leading, publicly traded, global alternative investment manager with approximately $352 billion of assets under management and approximately 2,565 employees in over 30 global offices as of December 31, 2022. Ares operates integrated groups across Credit, Private Equity, Real Assets, Secondaries and Strategic Initiatives and offers its investors a range of investment strategies and seeks to deliver attractive performance to a growing investor base that includes approximately 1,940 direct institutional relationships and a significant retail investor base across its publicly traded and sub-advised funds. Since its inception in 1997, Ares has adhered to a disciplined investment philosophy that focuses on delivering strong risk-adjusted investment returns through market cycles. Ares believes each of its distinct but complementary investment groups is a market leader based on assets under management and investment performance.</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Ares operates as an integrated investment platform with a collaborative culture that emphasizes sharing of knowledge and expertise. Ares believes the exchange of information enhances its ability to analyze investments, deploy capital and improve the performance of its funds and portfolio companies. Through collaboration, Ares drives value by leveraging its capital markets relationships and access to deal flow.</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AAC II will benefit directly and indirectly from its affiliation with the broader Ares organization through access to corporate and private relationships, sector expertise and the engagement of senior investment professionals leading the origination and execution of potential business combinations. While we will seek to utilize the entire Ares platform, we believe that the experience and capabilities of the Ares Private Equity Group and Ares Credit Group will be most relevant and critical to our success, particularly in sourcing and evaluating potential business combination opportunities. In addition, an affiliate of Ares has sponsored another special purpose acquisition company, AAC, that completed its initial public offering on February 4, 2021 and announced on December 6, 2022, an initial business combination with X-energy, a leading developer of advanced small modular nuclear reactors and fuel technology for clean energy generation.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Ares Private Equity Group has achieved attractive investment returns for its limited partners and, as of December 31, 2022 had $34.7 billion of AUM. The Private Equity Group broadly categorizes its investment activities into four strategies: Corporate Private Equity and Special Opportunities. Ares Private Equity Group professionals have a demonstrated ability to deploy flexible capital, which allows them to stay both active and disciplined in various market environments. The group’s activities are managed by three dedicated investment teams in North America, Europe and China. The group manages flagship funds focused primarily on North America and, to a lesser extent, Europe, special opportunities funds, infrastructure and power funds and growth funds in China.</w:t>
      </w:r>
    </w:p>
    <w:p>
      <w:pPr>
        <w:spacing w:after="0" w:line="18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Ares Corporate Private Equity strategy team is organized into dedicated industry pods with deep sector expertise and relationships, which the entire Ares Private Equity Group leverages for sourcing and execution of investment opportunities. Certain of Ares Private Equity Group’s senior investment professionals have been working together since 1990 and raised their first corporate private equity fund in 2003. Since then, the team has grown to approximately 75 investment professionals on a global basis. In Ares Corporate Private Equity strategy, Ares pursues four principal transaction types: prudently leveraged control buyouts, growth equity, rescue/deleveraging capital and distressed buyouts/discounted debt accumulation.</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Ares Credit Group is a leading manager of strategies across the non-investment grade credit universe, with $214.2 billion of AUM as of December 31, 2022. The Credit Group provides solutions for investors seeking to access a range of credit assets, including liquid credit, alternative credit products and direct lending markets. The Credit Group capitalizes on opportunities across traded and non-traded corporate, consumer and real estate debt across the U.S. and European markets. Additionally, it provides investors access to directly originated fixed and floating rate credit assets and with the ability to capitalize on illiquidity premiums across the credit spectrum.</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Within the Ares Credit Group, Ares’ Direct Lending strategy is one of the largest self-originating direct lenders to the U.S. and European markets, with $148.9 billion of AUM as of December 31, 2022. The Direct Lending platform has a multi-channel origination strategy designed to address a broad set of investment opportunities in the middle market. It focuses on being the lead or sole lender to its portfolio companies, which it believes allows it to exert greater influence over deal terms, capital structure, documentation, fees and pricing, while securing its position as a preferred source of financing for its transaction partners. The global Direct Lending team is comprised of approximately 260 investment professionals as of December 31, 2022. The team covers more than 635 financial sponsors in the U.S. and more than 395 in Europe, and provides a wide range of financing solutions to middle-market companies that typically range from $10 million to $250 million in EBITDA. Given its breadth of coverage and sheer number of lending relationships to private companies, we believe that the relationship network of Ares Direct Lending strategy’s team could be yet another vital source of potential deal origination for us.</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Ultimately, we believe Ares’ flexible capital approach, together with the broad resources of its platform, will widen our universe of potential opportunities and allow us to be highly selective in pursuing our initial business combination. However, an investment in this offering or our Company is not an investment in Ares or an Ares fund.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 and Independent Director Nominees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management team is led by David B. Kaplan, our Chief Executive Officer, and Michael J Arougheti, who intend to leverage the resources of Ares to fulfill our corporate mission and also leverage the complementary experience and networks of our independent director nominees, as further described below.</w:t>
      </w:r>
    </w:p>
    <w:p>
      <w:pPr>
        <w:spacing w:after="0" w:line="176"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David B. Kaplan serves as Chief Executive Officer and is a Co-Chairman of the board of directors of AAC II. Mr. Kaplan is a Co-Founder of Ares, a Director and Partner of Ares Management Corporation and Chief Executive Officer and Co-Chairman of AAC. He is a member of the Ares Executive Management Committee and on the Ares Private Equity Group’s Corporate Opportunities, Asia Private Equity and Special Opportunities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Chairman of the supervisory board of directors of the parent entity of Mytheresa and as a member of the boards of directors of the parent entities of 99 Cents Only Stores LLC, Cooper’s Hawk Winery &amp; Restaurants and Guitar Center Holdings, Inc.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on the President’s Advisory Group of the University of Michigan. Mr. Kaplan graduated with High Distinction, Beta Gamma Sigma, from the University of Michigan, School of Business Administration with a B.B.A. concentrating in Finance.</w:t>
      </w:r>
    </w:p>
    <w:p>
      <w:pPr>
        <w:spacing w:after="0" w:line="194"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Michael J Arougheti serves as Co-Chairman of the board of directors of AAC II. Mr. Arougheti is a Co-Founder of Ares and the Chief Executive Officer and President, as well as a Director of Ares Management Corporation and Co-Chairman of AAC. He is a member of the Ares Executive Management Committee. He additionally serves as Co-Chairman of ARCC and as a director of ACRE. Mr. Arougheti also is a member of the Ares Credit Group’s U.S. Direct Lending and Pathfinder Fund Investment Committee, the Ares Equity Income Opportunity Strategy Portfolio Review Committee and the Ares Operations Management Group. Prior to joining Ares in 2004, Mr. Arougheti was employed by RBC from 2001 to 2004, where he was a Managing Partner of the Principal Finance Group of RBC Capital Partners and a member of the firm’s Mezzanine Investment Committee.</w:t>
      </w:r>
    </w:p>
    <w:p>
      <w:pPr>
        <w:spacing w:after="0" w:line="5"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RBC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also serves on the board of directors of Operation HOPE, a not-for-profit organization focused on expanding economic opportunity in underserved communities through education and empowerment. Additionally, he is a member of the PATH Organization Leadership Council. Mr. Arougheti received a B.A. in Ethics, Politics and Economics, cum laude, from Yale University.</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past performance of neither our directors and executive officers nor Ares and its affiliates is a guarantee of either (i) success with respect to a business combination that may be consummated or (ii) the ability to successfully identify and execute a transaction. You should not rely on the historical record of management or Ares and its affiliates as indicative of future performance. See “</w:t>
      </w:r>
      <w:r>
        <w:rPr>
          <w:rFonts w:ascii="Times New Roman" w:cs="Times New Roman" w:eastAsia="Times New Roman" w:hAnsi="Times New Roman"/>
          <w:sz w:val="18"/>
          <w:szCs w:val="18"/>
          <w:i w:val="1"/>
          <w:iCs w:val="1"/>
          <w:color w:val="auto"/>
        </w:rPr>
        <w:t>Risk Factors—Past performance by Ares or its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our directors and executive officers,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between such officers and the company may or does exist, please refer to “Management—Conflicts of Interest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AAC completed its initial public offering in February 2021, in which it sold 87,000,000 units each consisting of one Class A ordinary share and one-fifth of one warrant, with each whole warrant entitling the holder thereof to purchase one Class A ordinary share for an offering price of $10.00 per unit. AAC consummated the sale of an additional 13,000,000 Class A ordinary shares units pursuant to the underwriters’ partial exercise of their over-allotment option at a price of $10.00 per unit, generating total gross proceeds of approximately $1 billion. On December 6, 2022, AAC announced it had entered into a definitive business combination agreement with X-energy, a leading developer of advanced small modular nuclear reactors and fuel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technology for clean energy generation. Mr. Kaplan serves as Chief Executive Officer, Mr. Phillips serves as Chief Financial Officer, Ms. Satin serves as Chief Operating Officer and Mr. Ogilvie serves as Executive Vice President of Strategy of AAC. Mr. Kaplan and Mr. Arougheti serve as Co-Chairmen of AAC’s board of directors. We believe that we will benefit from the valuable experience gained by our management team during the launch and operation of AAC, including the process of evaluating numerous target companies and industry sectors.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 Strategy and Competitive Advantage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identify, acquire and manage a high quality business that can benefit from our global investment presence, strong self-origination capabilities and underwriting experience to drive ongoing value creation post-business combination in the public markets. We intend to capitalize on the ability of our management team and Ares to identify opportunities that have the potential to benefit from the Ares platform and generate attractive risk-adjusted returns for our shareholders. More specifically, we believe Ares offers the following key advantages, which can help us identify and complete a successful business combination:</w:t>
      </w:r>
    </w:p>
    <w:p>
      <w:pPr>
        <w:spacing w:after="0" w:line="85" w:lineRule="exact"/>
        <w:rPr>
          <w:sz w:val="20"/>
          <w:szCs w:val="20"/>
          <w:color w:val="auto"/>
        </w:rPr>
      </w:pPr>
    </w:p>
    <w:p>
      <w:pPr>
        <w:ind w:left="1080" w:hanging="424"/>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Global and Scaled Investing Presence with Highly Collaborative Culture: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manages approximately $352 billion of assets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with approximately 900 investment professionals across more than 30 offices as of December 31, 2022. This has the potential to create meaningful advantages to source attractive transactions across various investment strategies. Ares promotes collaboration amongst its investment professionals to share ideas and information across the groups, which further enables it to effectively source, evaluate and manage investments. Ares believes this exchange of information enhances its ability to analyze investments, deploy capital and improve the performance of its funds. This collaboration takes place on a daily basis and is formally promoted through internal systems and widely attended weekly or monthly meetings. In each case where collaboration across teams and sectors occurs, Ares believes it has a meaningful positive impact on investment decisions.</w:t>
      </w:r>
    </w:p>
    <w:p>
      <w:pPr>
        <w:spacing w:after="0" w:line="90"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Robust Sourcing and Underwriting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investment professionals’ local market presence and ability to effectively cross-source for other investment groups generates a robust pipeline of high-quality investment opportunities across its platform. Ares has active investments in ~2,880 portfolio companies and approximately 1,940 direct institutional relationships. Additionally, Ares’ relationship network includes more than 635 financial sponsors in the U.S. and more than 395 in Europe with whom Ares is a key direct lending relationship, as well as privately held companies, investment advisors, boutique investment banks, law firms, consultants and other parties. Given AAC II has a broad mandate to pursue opportunities across geographies, Ares’ local presence in the U.S., Europe and Asia further differentiates its origination capabilities. AAC II is expected to benefit from Ares’ broad market presence, which has the potential to drive deal flow and allow for asset selectivity.</w:t>
      </w:r>
    </w:p>
    <w:p>
      <w:pPr>
        <w:spacing w:after="0" w:line="90" w:lineRule="exact"/>
        <w:rPr>
          <w:rFonts w:ascii="Times New Roman" w:cs="Times New Roman" w:eastAsia="Times New Roman" w:hAnsi="Times New Roman"/>
          <w:sz w:val="18"/>
          <w:szCs w:val="18"/>
          <w:color w:val="auto"/>
        </w:rPr>
      </w:pPr>
    </w:p>
    <w:p>
      <w:pPr>
        <w:ind w:left="1080" w:right="220" w:hanging="424"/>
        <w:spacing w:after="0" w:line="25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Extensive Market Knowledge: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its integrated investment framework, Ares has established deep and sophisticated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capabilities in nearly 60 industries with insights from active and previous investments. Further, its extensive network of investment professionals includes local and geographically positioned individuals with the knowledge, experience and relationships that enable them to identify and take advantage of a wide range of investment opportunities. This extensive market knowledge has a meaningful impact on investment decisions and facilitates a more holistic view of a transaction. We believe Ares’ broad and deep interdependencies and its research and operational infrastructure well-positions AAC II to complete a successful business combination transaction.</w:t>
      </w:r>
    </w:p>
    <w:p>
      <w:pPr>
        <w:spacing w:after="0" w:line="88" w:lineRule="exact"/>
        <w:rPr>
          <w:rFonts w:ascii="Times New Roman" w:cs="Times New Roman" w:eastAsia="Times New Roman" w:hAnsi="Times New Roman"/>
          <w:sz w:val="18"/>
          <w:szCs w:val="18"/>
          <w:color w:val="auto"/>
        </w:rPr>
      </w:pPr>
    </w:p>
    <w:p>
      <w:pPr>
        <w:ind w:left="1080" w:hanging="424"/>
        <w:spacing w:after="0" w:line="259"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Public Markets Experience through Portfolio Exits and Ares Vehicles: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Ares has a successful track record of portfolio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monetizations in its Private Equity business through initial public offerings, including Mytheresa, The AZEK Company, Inc., Floor &amp; Decor Holdings, Inc., GNC Holdings, Inc., Maidenform Brands, Inc., Smart &amp; Final Stores, Inc. and others. Additionally, Ares is publicly-listed on the NYSE and certain of its subsidiaries act as the external manager for three publicly-traded investment vehicles. Furthermore, Ares’ publicly traded entities and their affiliates,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including ARCC, ACRE, AAC and ARDC, account for approximately $30.5 billion of AUM as of December 31, 2022 and have a long track record as fiduciaries of capital for over 1,000 institutional investors and over 400,000 retail investor accounts. We believe Ares’ prior experience, combined with its robust public investor relations capabilities, will benefit AAC II following a business combination.</w:t>
      </w:r>
    </w:p>
    <w:p>
      <w:pPr>
        <w:spacing w:after="0" w:line="77" w:lineRule="exact"/>
        <w:rPr>
          <w:sz w:val="20"/>
          <w:szCs w:val="20"/>
          <w:color w:val="auto"/>
        </w:rPr>
      </w:pPr>
    </w:p>
    <w:p>
      <w:pPr>
        <w:ind w:left="1080" w:right="60" w:hanging="424"/>
        <w:spacing w:after="0" w:line="25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Deep Value Creation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members of the Ares platform have extensive experience working closely with management teams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board members to assist with ongoing value creation and have gained experience managing AAC. By leveraging this experience, we believe AAC II is well-positioned to understand key trends, assess areas of revenue and margin upside, detect potential risks and structure transactions to maximize the potential for value creation. AAC II will have access to Ares’ network of high-quality, well-respected third-party operating advisors who are well equipped to maximize value creation post-business combination. Given Ares’ meaningful public investor relations capabilities, AAC II can prepare and support a target’s successful operation in the public markets. Additionally, Ares has a dedicated team focused on ESG factors that can further enhance AAC II’s impact for various stakeholders.</w:t>
      </w:r>
    </w:p>
    <w:p>
      <w:pPr>
        <w:spacing w:after="0" w:line="88"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Capital Structure Optimization and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AAC II may benefit from Ares’ approximately 1,940 institutional investor relationships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more than 400 funds as of December 31, 2022. Ares’ high-quality institutional investor base includes large pension funds, sovereign wealth funds, banks and insurance companies. Additionally, Ares has very strong relationships with many leading commercial and investment banks globally and a track record of successfully accessing the capital markets.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foregoing examples, past performance of Ares, Ares funds and AAC is not a guarantee either (i) that we will be able to identify a suitable candidate for our initial business combination or (ii) of success with respect to any business combination we may consummate. You should not rely on the historical record of Ares’s, Ares funds’, AAC’s or our management’s performance as indicative of our future performance. An investment in us is not an investment in the Ares funds.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Criteria</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will be important in evaluating prospective target businesses. We will target one or more businesses that we believe have the following core attributes:</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differentiated and sustainable business model with a defensible market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people, processes and culture;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growth prospects, including an ability to capitalize on positive secular tailwinds;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strong customer base;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scale and resources to achieve a successful transition into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having a public currency to enhance its ability to grow organically or through M&amp;A;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benefit from Ares’ relationships and deep value creation capabilities.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pursue an initial business combination target in any business or industry.</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These criteria and guidelines are not intended to be exhaustive. Any evaluation relating to the merits of a particular initial business combination may be based, to the extent relevant, on these general criteria and guidelines as well as other considerations, factors and criteria that our directors and executive officers may deem relevant. We may decide to enter into our initial business combination with a target business that does not meet these criteria and guidelines. If we decide to enter into our initial business combination with a target business that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does not meet the above criteria and guidelines, we will disclose that the target business does not meet the above criteria in our shareholder communications related to our initial business combination. These communications would be in the form of tender offer documents or proxy solicitation materials that we would file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Acquisition Process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Ares investment process leverages the power of the Ares platform and an extensive network of professionals across investment areas to identify and source attractive risk adjusted return opportunities while emphasizing capital preservation. Ares utilizes its collective market and company knowledge, proprietary internal industry and company research, third party information and financial modeling to drive fundamental analysis and investment selection. Ares also recognizes the importance of considering ESG factors in its investment process and has adopted an ESG policy for the conduct of its business. Ares works collaboratively with its various underwriting, asset management, legal and compliance teams to appropriately integrate relevant ESG considerations into its investment process.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center of Ares’ investment process is a systematic approach that emphasizes rigorous due diligence at the company and market level in addition to a risk-adjusted return value assessment. This investment process is comprised of five stages: (1) generate a robust pipeline, (2) perform initial screening, (3) conduct due diligence, (4) drive transaction structuring, funding and overall execution, and (5) use a systematic approach to value creation. We believe we will benefit from the same approach as we pursue our initial business combination.</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evaluating a prospective target business, we expect to conduct a thorough due diligence review that may encompass, among other things, meetings with incumbent management and employees, document reviews, interviews of customers and suppliers, inspection of facilities, and a review of financial, operational, legal and other information about the target and its industry. We will also utilize our operational and capital planning experience.</w:t>
      </w:r>
    </w:p>
    <w:p>
      <w:pPr>
        <w:spacing w:after="0" w:line="15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Ares, our sponsor, or our officers or directors. In the event we seek to complete our initial business combination with a company that is affiliated with Ares, our sponsor, officers or directors, we, or a committee of independent directors, will obtain an opinion that our initial business combination is fair to our company from a financial point of view from an independent entity that commonly renders valuation opinions with respect to the satisfaction of such criteria.</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directly or indirectly own our ordinary shares or private placement warrants following this offering, and, accordingly, may have a conflict of interest in determining whether a particular target business is an appropriate business with which to effectuate our initial business combination. Further,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Certain members of our management team and directors have fiduciary duties to AAC. Accordingly, if any of our officers or directors becomes aware of a business combination opportunity that is suitable for an entity, including AAC and/or any other Ares entity, to which he or she has then-current fiduciary or contractual obligations, he or she will honor his or her fiduciary or contractual obligations to present such opportunity to such other entity, including AAC and/or any other Ares entity, subject to their fiduciary duties under Cayman Islands law. If these entities decide to pursue any such opportunity, we may be precluded from pursuing such opportunities. As a result, AAC may be given priority over us with respect to business combination opportunities if AAC does not consummate its announced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substantive commercial business for an indefinite period of time following this offering. We intend to utilize cash derived from the proceeds of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offering, the private placement, the overfunding loans, as well as our equity, debt or a combination of these, in effecting a business combination. Accordingly, investors in this offering are investing without first having an opportunity to evaluate the specific merits or risks of any one or more business combinations.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and significant expense. In the alternative, we may seek to consummate a business combination with a company that may be financially unstable or in its early stages of development or growth.</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If we decide to allow shareholders to sell their shares to us in a tender offer, we will file tender offer documents with the SEC, which will contain substantially the same financial and other information about the initial business combination as is required under the SEC’s proxy rules. If we seek shareholder approval of our initial business combination, we will consummate our initial business combination only if approved as an ordinary resolution under Cayman Islands law, which requires the affirmative vote of a majority of the shares held by shareholders who attend and vote at a general meeting of the company to approve the business combination to the extent that such business combination is structured as a merger. The decision as to whether we will seek shareholder approval of our proposed business combination or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w:t>
      </w:r>
    </w:p>
    <w:p>
      <w:pPr>
        <w:spacing w:after="0" w:line="19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 to an aggregate of</w:t>
      </w:r>
    </w:p>
    <w:p>
      <w:pPr>
        <w:ind w:left="120"/>
        <w:spacing w:after="0"/>
        <w:tabs>
          <w:tab w:leader="none" w:pos="6520" w:val="left"/>
          <w:tab w:leader="none" w:pos="7620" w:val="left"/>
        </w:tabs>
        <w:rPr>
          <w:sz w:val="20"/>
          <w:szCs w:val="20"/>
          <w:color w:val="auto"/>
        </w:rPr>
      </w:pPr>
      <w:r>
        <w:rPr>
          <w:rFonts w:ascii="Times New Roman" w:cs="Times New Roman" w:eastAsia="Times New Roman" w:hAnsi="Times New Roman"/>
          <w:sz w:val="18"/>
          <w:szCs w:val="18"/>
          <w:color w:val="auto"/>
        </w:rPr>
        <w:t>24 months, by depositing into the trust account for 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7"/>
          <w:szCs w:val="17"/>
          <w:color w:val="auto"/>
        </w:rPr>
        <w:t>if the underwriters’ over-allotment option is</w:t>
      </w:r>
    </w:p>
    <w:p>
      <w:pPr>
        <w:spacing w:after="0" w:line="9"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exercised in full ($0. per public share in either case). In this case, shareholders will not be offered an opportunity to vote on an extension and holders of Class A ordinary shares will not be offered an opportunity to redeem their shares.</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 Contributor will contribute to us, as a loan upon five days’ advance notice prior the end of each applicable deadline, the deposit for each two-month period. In the event the company intends to effect an extension, we will issue a press release 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within the applicable time period, we will redeem 100% of our issued and outstanding public shares for a pro rata portion of the funds held in the trust account, including interest earned thereon (less taxes payable and up to $100,000 of interest to pay dissolution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expenses), divided by the number of then outstanding public shares, subject to applicable law. Assuming we do not deposit additional funds into the trust account to extend the time period in which we are required to consummate our initial business combination, we expect the pro rata redemption price to be approximately $10.10 per public share (regardless of whether or not the underwriters exercise their over-allotment option), without taking into account any interest earned on such funds. However, we cannot assure you that we will in fact be able to distribute such amounts as a result of claims of creditors which may take priority over the claims of our public shareholders.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NYSE rules require that our initial business combination must occur with one or more target businesses that together have an aggregate fair market value of at least 80% of the net assets held in the trust account (excluding the amount of deferred underwriting discounts held in the trust account and taxes payable on the income earned on the trust account) at the time of signing the agreement to enter into the initial business combination. Our board of directors will make the determination as to the fair market value of our initial business combination. If our board of directors is not able to independently determine the fair market value of the target business or businesses, or if we are considering an initial business combination with an affiliated entity, we will obtain an opinion with respect to the satisfaction of such criteria from an independent entity that commonly renders valuation opinions with respect to the satisfaction of such criteria. We do not intend to purchase multiple businesses in unrelated industries in conjunction with our initial business combination. We also will not be permitted to effectuate our initial business combination with another blank check company or a similar company with nominal operations. Subject to these limitations, our directors and executive officers will have virtually unlimited flexibility in identifying and selecting one or more prospective businesses.</w:t>
      </w:r>
    </w:p>
    <w:p>
      <w:pPr>
        <w:spacing w:after="0" w:line="194"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Any such issuances of equity securities could dilute the interests of our existing shareholders.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to meet certain objectives of the prior owners of the target business, the target management team or shareholders or for other reasons.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In this case, we would acquire a 100% interest in the target. However, as a result of the issuance of a substantial number of new shares, our shareholders immediately prior to our initial business combination could own less than a majority of our outstanding shares subsequent to our initial business combination. If less than 100% of the outstanding equity interests or assets of a target business or businesses are owned or acquired by the post-business combination company, the portion of such business or businesses that is owned or acquired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currently do not have any specific business combination under consideration. Ares and our directors and executive officers are regularly made aware of potential business combination opportunities, one or more of which we may desire to pursue. However, we have not selected any business combination target and we have not, nor has anyone on our behalf, initiated any substantive discussions, directly or indirectly, with any business combination target.</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Ares manages multiple investment vehicles, and expects to raise additional funds or accounts in the future, including during the period in which we are seeking our initial business combination. These Ares investment entities are expected to be seeking acquisition opportunities and related financings. We may compete with any one or more of them on any given acquisition opportunity.</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certain of our directors and executive officers currently have, and any of them in the future may have additional, fiduciary and contractual duties to other entities, including without limitation, Ares, the Ares funds or their current or former portfolio companies and AAC. Certain of these entities may have overlapping investment objectives and potential conflicts may arise with respect to Ares’ decision regarding how to allocate investment opportunities among these entities.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AAC (if AAC does not consummate its announced business combination)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AAC and, subject to applicable fiduciary duties or contractual obligations, will first be directed to Ares, such fund, investment vehicle or portfolio company or AAC before being directed, if at all, to us. However, we do not expect these fiduciary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9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directors and officers or Ares or its affiliates, including the Ares funds, may sponsor, form or participate in other blank check companies similar to ours during the period in which we are seeking an initial business combination. Any such companies may present additional conflicts of interest in pursuing an acquisition target, particularly in the event there is overlap among investment mandates and the director and officer teams. In addition, Ares has sponsored other blank check companies in the past and may sponsor other blank check companies similar to ours during the period in which we are seeking an initial business combination, and members of our management team may participate in such blank check companies. In particular, an affiliate of Ares formed, and such affiliate, Mr. Kaplan, Mr. Arougheti, Mr. Phillips, Ms. Satin and Mr. Ogilvie are actively engaged in, AAC, a special purpose acquisition company that completed its initial public offering in February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2021. AAC, like us, may pursue initial business combination targets in any businesses or industries and has until August 2023 to do so. Any such blank check company, including AAC if its announced business combination is not completed, may present additional conflicts of interest in pursuing an acquisition target, particularly if there is overlap among investment mandates and the board and management teams. However, we do not currently expect that any such other blank check company would materially affect our ability to complete our initial business combination.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current and future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offices are located at 245 Park Avenue, 44th Floor, New York, New York 10167, and our telephone number is (212) 750-7300.</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as a result some investors find our securities unattractive there may be a less active trading market for our securities and the trading prices of our securities may be more volatile.</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40"/>
          </w:cols>
          <w:pgMar w:left="320" w:top="455" w:right="5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revenue of at least $1.235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With funds available for a business combination initially in the amount of $97,500,000, after payment of the estimated expenses of this offering, anticipated working capital expenses and $3,500,000 of deferred underwriting fees (or $112,125,000 after payment of $4,025,000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sale of the private placement warrants, the overfunding loans,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target business,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directors and executive officers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need to obtain additional financing to complete our initial business combination, either because the transaction requires more cash than is available from the proceeds held in our trust account, or because we become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process of identifying acquisition targets will leverage Ares’ and our directors and executive officers’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We expect that the collective experience, capability and network of Ares and our directors and executive officers, combined with their individual and collective reputations in the investment community, will help to create prospective business combination opportunities.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market participants and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w:t>
      </w:r>
    </w:p>
    <w:p>
      <w:pPr>
        <w:spacing w:after="0" w:line="192"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While we do not presently anticipate engaging the services of professional firms or other individuals that specialize in business acquisitions on any formal basis, we may engage these firms, including one of the underwriters or one of their respective affiliates, or other individuals in the future, in which event we may pay a finder’s fee, consulting fee or other compensation to be determined in an arm’s length negotiation based on the terms of the transaction. In addition, the underwriters may provide these services without additional compensation. We will formally engage a finder only to the extent our directors and executive officers determines that the use of a finder may bring opportunities to us that may not otherwise be available to us or if finders approach us on an unsolicited basis with a potential transaction that our directors and executive officers determine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to effectuate, the completion of our initial business combination (regardless of the type of transaction that it is). However, certain affiliates of our sponsor will be entitled to reimbursement for any out-of-pocket expenses (or an allocable portion thereof), to the extent that such affiliates incur expenses for services provided to us before our initial business combination. We have agreed to pay an affiliate of our sponsor a total of $16,667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 The presence or absence of any such fees or arrangements will not be used as a criterion in our selection process of a target business.</w:t>
      </w:r>
    </w:p>
    <w:p>
      <w:pPr>
        <w:spacing w:after="0" w:line="19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from making the acquisition through a joint venture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entity that commonly renders valuation opinions , that such initial business combination is fair to our company from a financial point of view. We are not required to obtain such an opinion in any other context.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the Ares funds or their current or former portfolio companies and AAC. Certain of these entities may have overlapping investment objectives and potential conflicts may arise with respect to Ares’ decision regarding how to allocate investment opportunities among these entities.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then, subject to their fiduciary duties under Cayman Islands law, he or she will need to honor such fiduciary or contractual obligations to present such business combination opportunity to such fund or entity, before we can pursue such opportunity. If Ares, the Ares funds, AAC (if AAC does not consummate its announced business combination)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AAC and, subject to applicable fiduciary duties or contractual obligations, will first be directed to Ares, such fund, investment vehicle or portfolio company or AAC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a Target Business and Structuring of Our Initial Business Combination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our directors and executive officers, or any of their respective affiliates, for services rendered to or in connection with our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81" w:lineRule="exact"/>
        <w:rPr>
          <w:sz w:val="20"/>
          <w:szCs w:val="20"/>
          <w:color w:val="auto"/>
        </w:rPr>
      </w:pPr>
    </w:p>
    <w:p>
      <w:pPr>
        <w:ind w:left="1080" w:right="1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our directors and executive officers, if any, in the target business cannot presently be stated with any certainty. The determination as to whether any of our directors and executive officers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our directors and executive officers will have significant experience or knowledge relating to the operations of the particular target business.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Shareholders May Not Have the Ability to Approve Our Initial Business Combination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rules, shareholder approval would be required for our initial business combination if, for example:</w:t>
      </w:r>
    </w:p>
    <w:p>
      <w:pPr>
        <w:spacing w:after="0" w:line="131" w:lineRule="exact"/>
        <w:rPr>
          <w:sz w:val="20"/>
          <w:szCs w:val="20"/>
          <w:color w:val="auto"/>
        </w:rPr>
      </w:pPr>
    </w:p>
    <w:p>
      <w:pPr>
        <w:ind w:left="1080" w:right="26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ordinary shares that will be equal to or in excess of 20% of the number of our ordinary shares then outstanding (other than in a public offering);</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security holder (as defined by the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ordinary shares will result in our undergoing a change of control.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08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holding a shareholder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shareholders would fail to approve the proposed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time and budget constraints of the company; and</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complexities of a proposed business combination that would be time-consuming and burdensome to present to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public warrants in privately negotiated transactions or in the open market either prior to or following the completion of our initial business combination where otherwise permissible under applicable law, rules and regulations.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or not redeem their public shares. However, they have no current commitments, plans or intentions to engage in such transactions and have not formulated any terms or conditions for any such transactions. None of the funds in the trust account will be used to purchase public shares or public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have their shares redeemed.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effect of any such purchases of shares or warrants could be to reduce the number of public warrants outstanding or vote such warrants on any matters submitted to the warrant holders for approval in connection with our initial business combination or to satisfy a closing condition in an agreement with a target that requires us to have a certain amount of cash at the closing of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sponsor, officers, directors or their affiliates anticipate that they may identify the shareholders with whom our sponsor, officers, directors or their affiliates may pursue privately negotiated purchases by either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only potential selling shareholders who have expressed their election to have their shares redeemed for a pro rata share of the trust account or vote against our initial business combination, whether or not such shareholder has already submitted a proxy with respect to our initial business combination. Our sponsor, executive officers, directors, advisors or any of their affiliates will only purchase shares if such purchases comply with Regulation M under the Exchange Act and the other federal securities laws.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sponsor, officers, directors or their affiliates will not make purchases of ordinary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thereon (less taxes payable), divided by the number of then-outstanding public shares, subject to the limitations described herein. The amount in the trust account is initially anticipated to be approximately $10.10 per public share. The per share amount we will distribute to investors who properly elect to redeem their shares will not be reduced by the deferred underwriting commissions we will pay to the underwriters. The redemption rights will include the requirement that a beneficial holder must identify itself before we can validly redeem its shares. There will be no redemption rights upon the completion of our initial business combination with respect to our warrants. Our sponsor and each of our directors and executive officers have entered into an agreement with us, pursuant to which they have agreed to waive their redemption rights with respect to any founder shares and any public shares in connection with the redemption of our shares upon the completion of our initial business combination or earlier at our option.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require us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requirements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requirements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held a shareholder vote to approve our initial business combination, we will, pursuant to our amended and restated memorandum and articles of association:</w:t>
      </w:r>
    </w:p>
    <w:p>
      <w:pPr>
        <w:spacing w:after="0" w:line="67" w:lineRule="exact"/>
        <w:rPr>
          <w:sz w:val="20"/>
          <w:szCs w:val="20"/>
          <w:color w:val="auto"/>
        </w:rPr>
      </w:pPr>
    </w:p>
    <w:p>
      <w:pPr>
        <w:ind w:left="1080" w:right="3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this case, our sponsor and each of our directors and executive officers have agreed to vote their founder shares and any public shares purchased during or after this offering in favor of our initial business combination. As a result, if approved as an ordinary resolution, in addition to our sponsor’s founder shares, we would need 3,750,001 or 37.5% (assuming all outstanding shares are voted), or 625,001 or 6.25% (assuming only the minimum number of shares representing a quorum are voted), of the 10,000,000 public shares sold in this offering to be voted in favor of an initial business combination to have our initial business combination approved. Each public shareholder may elect to have their public shares redeemed irrespective of whether they vote for or against the proposed transaction. Our sponsor and each of our directors and executive officers have entered into an agreement with us, pursuant to which they have agreed to waive their redemption rights with respect to any founder shares and any public shares in connection with the completion of our initial business combination or earlier at our option.</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of the SEC, we will, pursuant to our amended and restated memorandum and articles of association:</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If public shareholders tender more shares than we have offered to purchase, we will withdraw the tender offer and not complete the initial business combination.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Class A ordinary shares that are validly submitted for redemption plus any amount required to satisfy cash conditions pursuant to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terms of the proposed initial business combination exceed the aggregate amount of cash available to us, we will not complete the initial business combination or redeem any shares, and all Class A ordinary shares submitted for redemption will be returned to the holders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Shareholder Approval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public shares sold in this offering, which we refer to as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directors and executive officers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directors and executive officers at a premium to the then-current market price or on other undesirable terms. By limiting our shareholders’ ability to require us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certain amount of cash.</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However, we would not be restricting our shareholders’ ability to vote all of their shares (including Excess Shares) for or against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Tendering Share Certificates in Connection with a Tender Offer or Redemption Rights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Public shareholders seeking to exercise their redemption rights, whether they are record holders or hold their shares in “street name,” will be required to either tender their certificates (if any) to our transfer agent prior to the date set forth in the proxy materials or tender offer materials, as applicable, mailed to such holders, or to deliver their shares to the transfer agent electronically using The Depository Trust Company’s (the “DTC”) DWAC (Deposit/ Withdrawal At Custodian) System, at the holder’s option, in each case up to two business days prior to the initially scheduled vote to approve the business combination. The proxy materials or tender offer materials, as applicable, that we will furnish to holders of our public shares in connection with our initial business combination will indicate the applicable delivery requirements. Accordingly, a public shareholder would have from the time we send out our tender offer materials until the close of the tender offer period, or up to the date set forth in the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tendering process and the act of certificating the shares or delivering them through the DWAC System. The transfer agent will typically charge the tendering broker a fee of approximately $100.00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foregoing is different from the procedures used by many blank check companies. To perfect redemption rights in connection with their business combinations, many blank check companies would distribute proxy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require us to redeem is irrevocable once the business combination is approved.</w:t>
      </w:r>
    </w:p>
    <w:p>
      <w:pPr>
        <w:spacing w:after="0" w:line="188"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redemption deadline and thereafter with the approval of the board of directors.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require us to redeem their shares will be distributed promptly after the completion of our initial business combination.</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shareholders who elected to exercise their redemption rights would not be entitled to require us to redeem their shares for the applicable pro rata share of the trust account. In such case, we will promptly return any certificates delivered by public holders who elected to require us to redeem their shares.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our initial proposed business combination is not completed, we may continue to try to complete a business combination with a different target until 20 months, or such earlier date as our board of directors may approve, from the closing of this offering (or up to 24 months from the closing of this offering if we extend the period of time to consummate a business combination).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we will have only 20 months, or such earlier date as our board of directors may approve, from the closing of this offering (or up to 24 months from the closing of this offering if we extend the period of time to consummate a business combination) to consummate an initial business combination. 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we will as promptly as reasonably possible but not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 There will be no redemption rights or liquidating distributions with respect to our warrants, which may expire worthless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sponsor, directors and executive officers have entered into an agreement with us, pursuant to which they have waived their rights to liquidating distributions from the trust account with respect to their founder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 However, if our sponsor, directors or executive officers acquire public shares in or after this offering, they will be entitled to liquidating distributions from the company’s operating account with respect to their founder shares and from the trust account with respect to such public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 written agreement with us, that they will not propose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any amendment to our amended and restated memorandum and articles of association (A) that would modify the substance or timing of our obligation 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 holders of our Class A ordinary shares the right to have their shares redeemed in connection with our initial business combination or to redeem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of our public shares if we do not complete our initial business combination within 20 months, or such earlier date as our board of directors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approve, from the closing of this offering (or up to 24 months from the closing of this offering if we extend the period of time to consummate a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or (B) with respect to any other material provision relating to the rights or pre-initial business combination activity of holders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ordinary shares, unless we provide our public shareholders with the opportunity to require us to redeem their public shares upon approval of any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amendment at a per-share price, payable in cash, equal to the aggregate amount then on deposit in the trust account, including interest earned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thereon (less taxes payable), divided by the number of the then-outstanding public shares.</w:t>
      </w:r>
    </w:p>
    <w:p>
      <w:pPr>
        <w:spacing w:after="0" w:line="20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$2,500,000 of proceeds held outside the trust account plus up to $100,000 of funds from the trust account available to us to pay dissolution expenses, although we cannot assure you that there will be sufficient funds for such purpose.</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If we were to expend all of the net proceeds of this offering, the sale of the private placement warrants and the overfunding loans, other than the proceeds deposited in the trust account, and without taking into account interest, if any, earned on the trust account, the per-share redemption amount received by shareholders upon our dissolution would be $10.10.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$10.10. While we intend to pay such amounts, if any, we cannot assure you that we will have funds sufficient to pay or provide for all creditors’ claims.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will seek to have all material vendors, service providers (except for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to gain an advantage with respect to a claim against our assets, including the funds held in the trust account. If any third party refuses to execute an agreement waiving such claims to the monies held in the trust account, our directors and executive officers will consider whether competitive alternatives are reasonably available to the company and will only enter into an agreement with a third party that has not executed a waiver if our directors and executive officers believe that such third party’s engagement would be in the best interest of the company given the circumstances. Examples of possible instances where we may engage a third party that refuses to execute a waiver include the engagement of a third party consultant whose particular expertise or skills are believed by our directors and executive officers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be significantly superior to those of other consultants that would agree to execute a waiver or in cases where our directors and executive officers are unable to find a service provider willing to execute a waiver. WithumSmith+Brown, PC, our independent registered public accounting firm and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$10.10 per public share and (ii) the actual amount per public share held in the trust account as of the date of the liquidation of the trust account if less than $10.10 per share due to reductions in the value of the trust assets, in each case net of the interest that may be withdrawn to pay our tax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redemptions as of the date of the liquidation of the trust account could be reduced to less than $10.10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$10.10 per public share and (ii) the actual amount per public share held in the trust account as of the date of the liquidation of the trust account if less than $10.10 per share due to reductions in the value of the trust assets, in each case net of the amount of interest which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For example, the cost of such legal action may be deemed by the independent directors to be too high relative to the amount recoverable. Accordingly, we cannot assure you that due to claims of creditors the actual value of the per-share redemption price will not be less than $10.10 per share.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material vendors, service providers (except for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$2,500,000 from the proceeds of this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exceed our estimate of $2,500,000,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$2,500,000, the amount of funds we intend to be held outside the trust account would increase by a corresponding amount.</w:t>
      </w:r>
    </w:p>
    <w:p>
      <w:pPr>
        <w:spacing w:after="0" w:line="15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$10.10 per share to our public shareholders. Additionally, if we file a bankruptcy petition or an involuntary bankruptcy petition is filed against us that is not dismissed, any distributions received by shareholders could be viewed under applicable debtor/creditor 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8"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Our public shareholders will be entitled to receive funds from the trust account only (i) in the event of the redemption of our public shares if we do not consummate an initial business combination within 20 months, or such earlier date as our board of directors may approve, from the closing of this offering (or up to 24 months from the closing of this offering if we extend the period of time to consummate a business combination),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provisions relating to the rights or pre-initial business combination activity of holders of our Class A ordinary shares, or (iii) if they redeem their respective shares for cash upon the completion of the initial business combination. Public shareholders who elect to have their Class A ordinary shares redeemed in connection with a shareholder vote described in clause</w:t>
      </w:r>
    </w:p>
    <w:p>
      <w:pPr>
        <w:spacing w:after="0" w:line="4" w:lineRule="exact"/>
        <w:rPr>
          <w:sz w:val="20"/>
          <w:szCs w:val="20"/>
          <w:color w:val="auto"/>
        </w:rPr>
      </w:pPr>
    </w:p>
    <w:p>
      <w:pPr>
        <w:ind w:left="120" w:right="20" w:hanging="4"/>
        <w:spacing w:after="0" w:line="251" w:lineRule="auto"/>
        <w:tabs>
          <w:tab w:leader="none" w:pos="3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preceding sentence shall not be entitled to funds from the trust account upon the subsequent completion of an initial business combination or liquidation if we have not completed an initial business combination within 20 months, or such earlier date as our board of directors may approve, from the closing of this offering (or up to 24 months from the closing of this offering if we extend the period of time to consummate a business combination), with respect to such Class A ordinary shares so redeemed. In no other circumstances will a shareholder have any right or interest of any kind to or in the trust account. 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A shareholder’s voting in connection with the business combination alone will not result in a shareholder’s requiring us to redeem its shares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Comparison of Redemption or Purchase Prices in Connection with Our Initial Business Combination and If We Fail to Complete Our Initial Business Combination.</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compares the redemptions and other permitted purchases of public shares that may take place in connection with the completion of our initial business combination and 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ectPr>
          <w:pgSz w:w="11900" w:h="16838" w:orient="portrait"/>
          <w:cols w:equalWidth="0" w:num="1">
            <w:col w:w="11120"/>
          </w:cols>
          <w:pgMar w:left="320" w:top="455" w:right="459" w:bottom="1440" w:gutter="0" w:footer="0" w:header="0"/>
        </w:sectPr>
      </w:pP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in</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c>
          <w:tcPr>
            <w:tcW w:w="0" w:type="dxa"/>
            <w:vAlign w:val="bottom"/>
          </w:tcPr>
          <w:p>
            <w:pPr>
              <w:spacing w:after="0"/>
              <w:rPr>
                <w:sz w:val="1"/>
                <w:szCs w:val="1"/>
                <w:color w:val="auto"/>
              </w:rPr>
            </w:pPr>
          </w:p>
        </w:tc>
      </w:tr>
      <w:tr>
        <w:trPr>
          <w:trHeight w:val="187"/>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Calculation of redemption price</w:t>
            </w: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0" w:type="dxa"/>
            <w:vAlign w:val="bottom"/>
          </w:tcPr>
          <w:p>
            <w:pPr>
              <w:spacing w:after="0"/>
              <w:rPr>
                <w:sz w:val="1"/>
                <w:szCs w:val="1"/>
                <w:color w:val="auto"/>
              </w:rPr>
            </w:pPr>
          </w:p>
        </w:tc>
      </w:tr>
      <w:tr>
        <w:trPr>
          <w:trHeight w:val="191"/>
        </w:trPr>
        <w:tc>
          <w:tcPr>
            <w:tcW w:w="3540" w:type="dxa"/>
            <w:vAlign w:val="bottom"/>
            <w:vMerge w:val="continue"/>
          </w:tcPr>
          <w:p>
            <w:pPr>
              <w:spacing w:after="0"/>
              <w:rPr>
                <w:sz w:val="16"/>
                <w:szCs w:val="16"/>
                <w:color w:val="auto"/>
              </w:rPr>
            </w:pPr>
          </w:p>
        </w:tc>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Redemptions at the time of our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initial business combination may</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be made pursuant to a tender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offer or in connection with a</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8"/>
              </w:rPr>
              <w:t>shareholder vote. The redemption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price will be the same whether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8"/>
              </w:rPr>
              <w:t>we conduct redemptions pursuant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 a tender offer or in connection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with a shareholder vote. In either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case, our public shareholders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may require us to redeem their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public shares for cash equal to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 aggregate amount then 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deposit in the trust account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calculated as of two business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days prior to the consummation</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the initial business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combination (which is initially</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anticipated to be $10.10 per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share), including interest earned</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thereon (less taxes payable),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divided by the number of the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then-outstanding public shares,</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limitation that no</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redemptions will take place if all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of the redemptions would cause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w w:val="99"/>
              </w:rPr>
              <w:t>any limitations (including but not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limited to cash requirements)</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agreed to</w:t>
            </w:r>
          </w:p>
        </w:tc>
        <w:tc>
          <w:tcPr>
            <w:tcW w:w="0" w:type="dxa"/>
            <w:vAlign w:val="bottom"/>
          </w:tcPr>
          <w:p>
            <w:pPr>
              <w:spacing w:after="0"/>
              <w:rPr>
                <w:sz w:val="1"/>
                <w:szCs w:val="1"/>
                <w:color w:val="auto"/>
              </w:rPr>
            </w:pPr>
          </w:p>
        </w:tc>
      </w:tr>
      <w:tr>
        <w:trPr>
          <w:trHeight w:val="580"/>
        </w:trPr>
        <w:tc>
          <w:tcPr>
            <w:tcW w:w="3540" w:type="dxa"/>
            <w:vAlign w:val="bottom"/>
          </w:tcPr>
          <w:p>
            <w:pPr>
              <w:spacing w:after="0"/>
              <w:rPr>
                <w:sz w:val="24"/>
                <w:szCs w:val="24"/>
                <w:color w:val="auto"/>
              </w:rPr>
            </w:pPr>
          </w:p>
        </w:tc>
        <w:tc>
          <w:tcPr>
            <w:tcW w:w="24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Permitted</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Purchases of</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Public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34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66" w:lineRule="auto"/>
        <w:rPr>
          <w:sz w:val="20"/>
          <w:szCs w:val="20"/>
          <w:color w:val="auto"/>
        </w:rPr>
      </w:pPr>
      <w:r>
        <w:rPr>
          <w:rFonts w:ascii="Times New Roman" w:cs="Times New Roman" w:eastAsia="Times New Roman" w:hAnsi="Times New Roman"/>
          <w:sz w:val="17"/>
          <w:szCs w:val="17"/>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1534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we will redeem all public shares at a per-share price, payable in cash, equal to the aggregate amount, then on deposit in the trust account (which is initially anticipated to be $10.10 per share), including interest earned thereon (less taxes payable and up to $100,000 of interest to pay dissolution expenses) divided by the number of the then-outstanding public shares.</w:t>
      </w:r>
    </w:p>
    <w:p>
      <w:pPr>
        <w:sectPr>
          <w:pgSz w:w="11900" w:h="16838" w:orient="portrait"/>
          <w:cols w:equalWidth="0" w:num="3">
            <w:col w:w="6080" w:space="120"/>
            <w:col w:w="2400" w:space="120"/>
            <w:col w:w="2400"/>
          </w:cols>
          <w:pgMar w:left="320" w:top="455" w:right="4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02" w:lineRule="exact"/>
        <w:rPr>
          <w:sz w:val="20"/>
          <w:szCs w:val="20"/>
          <w:color w:val="auto"/>
        </w:rPr>
      </w:pPr>
    </w:p>
    <w:tbl>
      <w:tblPr>
        <w:tblLayout w:type="fixed"/>
        <w:tblInd w:w="3660" w:type="dxa"/>
        <w:tblCellMar>
          <w:top w:w="0" w:type="dxa"/>
          <w:left w:w="0" w:type="dxa"/>
          <w:bottom w:w="0" w:type="dxa"/>
          <w:right w:w="0" w:type="dxa"/>
        </w:tblCellMar>
      </w:tblPr>
      <w:tr>
        <w:trPr>
          <w:trHeight w:val="161"/>
        </w:trPr>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Redemptions in</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Permitted</w:t>
            </w:r>
          </w:p>
        </w:tc>
      </w:tr>
      <w:tr>
        <w:trPr>
          <w:trHeight w:val="148"/>
        </w:trPr>
        <w:tc>
          <w:tcPr>
            <w:tcW w:w="2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Connection with</w:t>
            </w: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Purchases of</w:t>
            </w:r>
          </w:p>
        </w:tc>
      </w:tr>
      <w:tr>
        <w:trPr>
          <w:trHeight w:val="148"/>
        </w:trPr>
        <w:tc>
          <w:tcPr>
            <w:tcW w:w="2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Our Initial Business</w:t>
            </w: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 Shares</w:t>
            </w:r>
          </w:p>
        </w:tc>
      </w:tr>
      <w:tr>
        <w:trPr>
          <w:trHeight w:val="187"/>
        </w:trPr>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Combination</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by Our Affiliates</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 connection with the</w:t>
            </w:r>
          </w:p>
        </w:tc>
        <w:tc>
          <w:tcPr>
            <w:tcW w:w="120" w:type="dxa"/>
            <w:vAlign w:val="bottom"/>
          </w:tcPr>
          <w:p>
            <w:pPr>
              <w:spacing w:after="0"/>
              <w:rPr>
                <w:sz w:val="16"/>
                <w:szCs w:val="16"/>
                <w:color w:val="auto"/>
              </w:rPr>
            </w:pPr>
          </w:p>
        </w:tc>
        <w:tc>
          <w:tcPr>
            <w:tcW w:w="2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purchasers will comply with</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negotiation of terms of a</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such rules.</w:t>
            </w: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 business combination.</w:t>
            </w:r>
          </w:p>
        </w:tc>
        <w:tc>
          <w:tcPr>
            <w:tcW w:w="24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Redemptions if We</w:t>
      </w:r>
    </w:p>
    <w:p>
      <w:pPr>
        <w:jc w:val="center"/>
        <w:ind w:right="620"/>
        <w:spacing w:after="0" w:line="229" w:lineRule="auto"/>
        <w:rPr>
          <w:sz w:val="20"/>
          <w:szCs w:val="20"/>
          <w:color w:val="auto"/>
        </w:rPr>
      </w:pPr>
      <w:r>
        <w:rPr>
          <w:rFonts w:ascii="Times New Roman" w:cs="Times New Roman" w:eastAsia="Times New Roman" w:hAnsi="Times New Roman"/>
          <w:sz w:val="14"/>
          <w:szCs w:val="14"/>
          <w:b w:val="1"/>
          <w:bCs w:val="1"/>
          <w:color w:val="auto"/>
        </w:rPr>
        <w:t>Fail to Complete</w:t>
      </w:r>
    </w:p>
    <w:p>
      <w:pPr>
        <w:jc w:val="center"/>
        <w:ind w:right="620"/>
        <w:spacing w:after="0" w:line="221" w:lineRule="auto"/>
        <w:rPr>
          <w:sz w:val="20"/>
          <w:szCs w:val="20"/>
          <w:color w:val="auto"/>
        </w:rPr>
      </w:pPr>
      <w:r>
        <w:rPr>
          <w:rFonts w:ascii="Times New Roman" w:cs="Times New Roman" w:eastAsia="Times New Roman" w:hAnsi="Times New Roman"/>
          <w:sz w:val="14"/>
          <w:szCs w:val="14"/>
          <w:b w:val="1"/>
          <w:bCs w:val="1"/>
          <w:color w:val="auto"/>
        </w:rPr>
        <w:t>an Initial Business</w:t>
      </w:r>
    </w:p>
    <w:p>
      <w:pPr>
        <w:spacing w:after="0" w:line="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5080</wp:posOffset>
            </wp:positionV>
            <wp:extent cx="1534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755" w:lineRule="exact"/>
        <w:rPr>
          <w:sz w:val="20"/>
          <w:szCs w:val="20"/>
          <w:color w:val="auto"/>
        </w:rPr>
      </w:pPr>
    </w:p>
    <w:p>
      <w:pPr>
        <w:sectPr>
          <w:pgSz w:w="11900" w:h="16838" w:orient="portrait"/>
          <w:cols w:equalWidth="0" w:num="2">
            <w:col w:w="8620" w:space="720"/>
            <w:col w:w="1780"/>
          </w:cols>
          <w:pgMar w:left="320" w:top="455" w:right="459" w:bottom="1440" w:gutter="0" w:footer="0" w:header="0"/>
          <w:type w:val="continuous"/>
        </w:sectPr>
      </w:pPr>
    </w:p>
    <w:p>
      <w:pPr>
        <w:ind w:left="120"/>
        <w:spacing w:after="0"/>
        <w:tabs>
          <w:tab w:leader="none" w:pos="3640" w:val="left"/>
        </w:tabs>
        <w:rPr>
          <w:sz w:val="20"/>
          <w:szCs w:val="20"/>
          <w:color w:val="auto"/>
        </w:rPr>
      </w:pPr>
      <w:r>
        <w:rPr>
          <w:rFonts w:ascii="Times New Roman" w:cs="Times New Roman" w:eastAsia="Times New Roman" w:hAnsi="Times New Roman"/>
          <w:sz w:val="18"/>
          <w:szCs w:val="18"/>
          <w:b w:val="1"/>
          <w:bCs w:val="1"/>
          <w:color w:val="auto"/>
        </w:rPr>
        <w:t>Impact to remaining shareholders</w:t>
      </w:r>
      <w:r>
        <w:rPr>
          <w:sz w:val="20"/>
          <w:szCs w:val="20"/>
          <w:color w:val="auto"/>
        </w:rPr>
        <w:tab/>
      </w:r>
      <w:r>
        <w:rPr>
          <w:rFonts w:ascii="Times New Roman" w:cs="Times New Roman" w:eastAsia="Times New Roman" w:hAnsi="Times New Roman"/>
          <w:sz w:val="17"/>
          <w:szCs w:val="17"/>
          <w:color w:val="auto"/>
        </w:rPr>
        <w:t>The redemptions in connection</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with our initial business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combination will reduce the book</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value per share for our remaining</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shareholders, who will bear the</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burden of the deferred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underwriting commissions and</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taxes payable.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Times New Roman" w:cs="Times New Roman" w:eastAsia="Times New Roman" w:hAnsi="Times New Roman"/>
          <w:sz w:val="18"/>
          <w:szCs w:val="18"/>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0" w:lineRule="exact"/>
        <w:rPr>
          <w:sz w:val="20"/>
          <w:szCs w:val="20"/>
          <w:color w:val="auto"/>
        </w:rPr>
      </w:pPr>
    </w:p>
    <w:p>
      <w:pPr>
        <w:sectPr>
          <w:pgSz w:w="11900" w:h="16838" w:orient="portrait"/>
          <w:cols w:equalWidth="0" w:num="3">
            <w:col w:w="6080" w:space="120"/>
            <w:col w:w="2300" w:space="220"/>
            <w:col w:w="2400"/>
          </w:cols>
          <w:pgMar w:left="320" w:top="455" w:right="459" w:bottom="1440" w:gutter="0" w:footer="0" w:header="0"/>
          <w:type w:val="continuous"/>
        </w:sectPr>
      </w:pP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w:t>
      </w:r>
    </w:p>
    <w:p>
      <w:pPr>
        <w:spacing w:after="0" w:line="27" w:lineRule="exact"/>
        <w:rPr>
          <w:sz w:val="20"/>
          <w:szCs w:val="20"/>
          <w:color w:val="auto"/>
        </w:rPr>
      </w:pPr>
    </w:p>
    <w:p>
      <w:pPr>
        <w:ind w:left="120" w:right="40" w:hanging="4"/>
        <w:spacing w:after="0" w:line="255" w:lineRule="auto"/>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1120"/>
          </w:cols>
          <w:pgMar w:left="320" w:top="455" w:right="459" w:bottom="1440" w:gutter="0" w:footer="0" w:header="0"/>
          <w:type w:val="continuous"/>
        </w:sect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Escrow of offering proceeds</w:t>
            </w:r>
          </w:p>
        </w:tc>
        <w:tc>
          <w:tcPr>
            <w:tcW w:w="9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c>
          <w:tcPr>
            <w:tcW w:w="0" w:type="dxa"/>
            <w:vAlign w:val="bottom"/>
          </w:tcPr>
          <w:p>
            <w:pPr>
              <w:spacing w:after="0"/>
              <w:rPr>
                <w:sz w:val="1"/>
                <w:szCs w:val="1"/>
                <w:color w:val="auto"/>
              </w:rPr>
            </w:pPr>
          </w:p>
        </w:tc>
      </w:tr>
      <w:tr>
        <w:trPr>
          <w:trHeight w:val="191"/>
        </w:trPr>
        <w:tc>
          <w:tcPr>
            <w:tcW w:w="3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$101,000,000 of the net proceeds of this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offering, the sale of the private placement</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warrants and the overfunding loans will be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deposited into a trust account located in the</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9"/>
              </w:rPr>
              <w:t>United States with Continental Stock Transfer &amp;</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45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Trust Company acting as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tabs>
          <w:tab w:leader="none" w:pos="4180" w:val="left"/>
        </w:tabs>
        <w:rPr>
          <w:sz w:val="20"/>
          <w:szCs w:val="20"/>
          <w:color w:val="auto"/>
        </w:rPr>
      </w:pPr>
      <w:r>
        <w:rPr>
          <w:rFonts w:ascii="Times New Roman" w:cs="Times New Roman" w:eastAsia="Times New Roman" w:hAnsi="Times New Roman"/>
          <w:sz w:val="18"/>
          <w:szCs w:val="18"/>
          <w:b w:val="1"/>
          <w:bCs w:val="1"/>
          <w:color w:val="auto"/>
        </w:rPr>
        <w:t>Investment of net proceeds</w:t>
      </w:r>
      <w:r>
        <w:rPr>
          <w:sz w:val="20"/>
          <w:szCs w:val="20"/>
          <w:color w:val="auto"/>
        </w:rPr>
        <w:tab/>
      </w:r>
      <w:r>
        <w:rPr>
          <w:rFonts w:ascii="Times New Roman" w:cs="Times New Roman" w:eastAsia="Times New Roman" w:hAnsi="Times New Roman"/>
          <w:sz w:val="17"/>
          <w:szCs w:val="17"/>
          <w:color w:val="auto"/>
        </w:rPr>
        <w:t>$101,000,000 of the net proceeds of this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offering, the sale of the private placement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warrants and the overfunding loans held in trust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will be invested only in U.S. government</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treasury obligations with a maturity of 185 days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or less or in money market funds meeting</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certain conditions under Rule 2a-7 under the</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Investment Company Act which invest only in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direct</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ectPr>
          <w:pgSz w:w="11900" w:h="16838" w:orient="portrait"/>
          <w:cols w:equalWidth="0" w:num="2">
            <w:col w:w="7720" w:space="220"/>
            <w:col w:w="3180"/>
          </w:cols>
          <w:pgMar w:left="320" w:top="455" w:right="45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Receipt of interest on escrowed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-626110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 treasury obligations</w:t>
      </w:r>
    </w:p>
    <w:p>
      <w:pPr>
        <w:spacing w:after="0" w:line="109"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Interest income (if any) on proceeds from the trust account to be paid to shareholders is reduced by (i) any taxes paid or payable and</w:t>
      </w:r>
    </w:p>
    <w:p>
      <w:pPr>
        <w:spacing w:after="0" w:line="1" w:lineRule="exact"/>
        <w:rPr>
          <w:sz w:val="20"/>
          <w:szCs w:val="20"/>
          <w:color w:val="auto"/>
        </w:rPr>
      </w:pPr>
    </w:p>
    <w:p>
      <w:pPr>
        <w:ind w:firstLine="6"/>
        <w:spacing w:after="0" w:line="252" w:lineRule="auto"/>
        <w:tabs>
          <w:tab w:leader="none" w:pos="2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Class A ordinary shares and warrants comprising the units will begin separate trading on the 52nd day following the date of this prospectus unless the representative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 trading of the units or the underlying Class A ordinary shares and warrants would be permitted until the completion of a business combination. During this period, the securities would be held in the escrow or trust account.</w:t>
      </w:r>
    </w:p>
    <w:p>
      <w:pPr>
        <w:sectPr>
          <w:pgSz w:w="11900" w:h="16838" w:orient="portrait"/>
          <w:cols w:equalWidth="0" w:num="3">
            <w:col w:w="3640" w:space="560"/>
            <w:col w:w="3520" w:space="220"/>
            <w:col w:w="318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9"/>
              </w:rPr>
              <w:t>second or amended Current Report on Form 8-K</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will be filed to provide updated financial</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information to reflect the exercise of the over-</w:t>
            </w:r>
          </w:p>
        </w:tc>
      </w:tr>
      <w:tr>
        <w:trPr>
          <w:trHeight w:val="234"/>
        </w:trPr>
        <w:tc>
          <w:tcPr>
            <w:tcW w:w="3200" w:type="dxa"/>
            <w:vAlign w:val="bottom"/>
          </w:tcPr>
          <w:p>
            <w:pPr>
              <w:spacing w:after="0"/>
              <w:rPr>
                <w:sz w:val="20"/>
                <w:szCs w:val="20"/>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allotment option.</w:t>
            </w:r>
          </w:p>
        </w:tc>
      </w:tr>
      <w:tr>
        <w:trPr>
          <w:trHeight w:val="306"/>
        </w:trPr>
        <w:tc>
          <w:tcPr>
            <w:tcW w:w="3200" w:type="dxa"/>
            <w:vAlign w:val="bottom"/>
          </w:tcPr>
          <w:p>
            <w:pPr>
              <w:spacing w:after="0"/>
              <w:rPr>
                <w:sz w:val="24"/>
                <w:szCs w:val="24"/>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units will automatically separate into their</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component parts and will not be traded after</w:t>
            </w:r>
          </w:p>
        </w:tc>
      </w:tr>
      <w:tr>
        <w:trPr>
          <w:trHeight w:val="234"/>
        </w:trPr>
        <w:tc>
          <w:tcPr>
            <w:tcW w:w="3200" w:type="dxa"/>
            <w:vAlign w:val="bottom"/>
          </w:tcPr>
          <w:p>
            <w:pPr>
              <w:spacing w:after="0"/>
              <w:rPr>
                <w:sz w:val="20"/>
                <w:szCs w:val="20"/>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completion of the initial business combination.</w:t>
            </w:r>
          </w:p>
        </w:tc>
      </w:tr>
      <w:tr>
        <w:trPr>
          <w:trHeight w:val="30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 the warrants</w:t>
            </w: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warrants cannot be exercised until the later</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of 30 days after the completion of our initial</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business combination or 12 months from the</w:t>
            </w:r>
          </w:p>
        </w:tc>
      </w:tr>
      <w:tr>
        <w:trPr>
          <w:trHeight w:val="234"/>
        </w:trPr>
        <w:tc>
          <w:tcPr>
            <w:tcW w:w="3200" w:type="dxa"/>
            <w:vAlign w:val="bottom"/>
          </w:tcPr>
          <w:p>
            <w:pPr>
              <w:spacing w:after="0"/>
              <w:rPr>
                <w:sz w:val="20"/>
                <w:szCs w:val="20"/>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closing of this offering.</w:t>
            </w:r>
          </w:p>
        </w:tc>
      </w:tr>
      <w:tr>
        <w:trPr>
          <w:trHeight w:val="522"/>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 investor</w:t>
            </w: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We will provide our public shareholders with the</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opportunity to require us to redeem their public</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shares for cash at a per share price equal to the</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aggregate amount then on deposit in the trust</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account calculated as of two business days prior</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 the consummation of our initial business</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combination, including interest earned thereon</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(less taxes payable), divided by the number of</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the then-outstanding public shares, upon the</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completion of our initial business combination,</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subject to the limitations described herein. We</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may not be required by applicable law or stock</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exchange listing requirements to hold a</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shareholder vote. If we are not required by</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applicable law or stock exchange requirements</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and do not otherwise decide to hold a</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shareholder vote, we will, pursuant to our</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amended and restated memorandum and articles</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of association, conduct the redemptions pursuant</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 the tender offer rules of the SEC and file</w:t>
            </w:r>
          </w:p>
        </w:tc>
      </w:tr>
      <w:tr>
        <w:trPr>
          <w:trHeight w:val="216"/>
        </w:trPr>
        <w:tc>
          <w:tcPr>
            <w:tcW w:w="3200" w:type="dxa"/>
            <w:vAlign w:val="bottom"/>
          </w:tcPr>
          <w:p>
            <w:pPr>
              <w:spacing w:after="0"/>
              <w:rPr>
                <w:sz w:val="18"/>
                <w:szCs w:val="18"/>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tender offer documents with the SEC which will</w:t>
            </w:r>
          </w:p>
        </w:tc>
      </w:tr>
      <w:tr>
        <w:trPr>
          <w:trHeight w:val="234"/>
        </w:trPr>
        <w:tc>
          <w:tcPr>
            <w:tcW w:w="3200" w:type="dxa"/>
            <w:vAlign w:val="bottom"/>
          </w:tcPr>
          <w:p>
            <w:pPr>
              <w:spacing w:after="0"/>
              <w:rPr>
                <w:sz w:val="20"/>
                <w:szCs w:val="20"/>
                <w:color w:val="auto"/>
              </w:rPr>
            </w:pPr>
          </w:p>
        </w:tc>
        <w:tc>
          <w:tcPr>
            <w:tcW w:w="4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contain substantially the same financial</w:t>
            </w:r>
          </w:p>
        </w:tc>
      </w:tr>
      <w:tr>
        <w:trPr>
          <w:trHeight w:val="364"/>
        </w:trPr>
        <w:tc>
          <w:tcPr>
            <w:tcW w:w="3200" w:type="dxa"/>
            <w:vAlign w:val="bottom"/>
          </w:tcPr>
          <w:p>
            <w:pPr>
              <w:spacing w:after="0"/>
              <w:rPr>
                <w:sz w:val="24"/>
                <w:szCs w:val="24"/>
                <w:color w:val="auto"/>
              </w:rPr>
            </w:pPr>
          </w:p>
        </w:tc>
        <w:tc>
          <w:tcPr>
            <w:tcW w:w="440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45th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7720" w:space="220"/>
            <w:col w:w="318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3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 other information about the initial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combination and the redemption rights as is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required under the SEC’s proxy rules. If,</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however, we hold a shareholder vote, we will,</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like many blank check companies, offer to</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redeem shares in conjunction with a proxy</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solicitation pursuant to the proxy rules and not</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pursuant to the tender offer rules. If we seek</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shareholder approval, we will complete our</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initial business combination only if we obtain</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approval of an ordinary resolution under</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Cayman Islands law, which requires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affirmative vote of shareholders holding a</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majority of ordinary shares who attend and vote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at a shareholder meeting. Additionally, each</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public shareholder may elect to require us to</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redeem their public shares irrespective of</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whether they vote for or against the proposed</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transaction. Our amended and restated</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memorandum and articles of association will</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require that at least five days’ notice will be</w:t>
            </w:r>
          </w:p>
        </w:tc>
      </w:tr>
      <w:tr>
        <w:trPr>
          <w:trHeight w:val="234"/>
        </w:trPr>
        <w:tc>
          <w:tcPr>
            <w:tcW w:w="3220" w:type="dxa"/>
            <w:vAlign w:val="bottom"/>
          </w:tcPr>
          <w:p>
            <w:pPr>
              <w:spacing w:after="0"/>
              <w:rPr>
                <w:sz w:val="20"/>
                <w:szCs w:val="20"/>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given of any such shareholder meeting.</w:t>
            </w:r>
          </w:p>
        </w:tc>
      </w:tr>
      <w:tr>
        <w:trPr>
          <w:trHeight w:val="306"/>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 deadline</w:t>
            </w: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If we have not consummated an initial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combination within 20 months, or such earlier</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date as our board of directors may approve, from</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 closing of this offering (or up to 24 months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from the closing of this offering if we extend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period of time to consummate a business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99"/>
              </w:rPr>
              <w:t>combination), we will as promptly as reasonably</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possible but not more than ten business days</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thereafter, redeem 100% of the public shares, at</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 per-share price, payable in cash, equal to the</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aggregate amount then on deposit in the trust</w:t>
            </w:r>
          </w:p>
        </w:tc>
      </w:tr>
      <w:tr>
        <w:trPr>
          <w:trHeight w:val="216"/>
        </w:trPr>
        <w:tc>
          <w:tcPr>
            <w:tcW w:w="3220" w:type="dxa"/>
            <w:vAlign w:val="bottom"/>
          </w:tcPr>
          <w:p>
            <w:pPr>
              <w:spacing w:after="0"/>
              <w:rPr>
                <w:sz w:val="18"/>
                <w:szCs w:val="18"/>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account, including interest earned thereon (less</w:t>
            </w:r>
          </w:p>
        </w:tc>
      </w:tr>
      <w:tr>
        <w:trPr>
          <w:trHeight w:val="234"/>
        </w:trPr>
        <w:tc>
          <w:tcPr>
            <w:tcW w:w="3220" w:type="dxa"/>
            <w:vAlign w:val="bottom"/>
          </w:tcPr>
          <w:p>
            <w:pPr>
              <w:spacing w:after="0"/>
              <w:rPr>
                <w:sz w:val="20"/>
                <w:szCs w:val="20"/>
                <w:color w:val="auto"/>
              </w:rPr>
            </w:pPr>
          </w:p>
        </w:tc>
        <w:tc>
          <w:tcPr>
            <w:tcW w:w="43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taxes payable and up to $100,000 of</w:t>
            </w:r>
          </w:p>
        </w:tc>
      </w:tr>
      <w:tr>
        <w:trPr>
          <w:trHeight w:val="365"/>
        </w:trPr>
        <w:tc>
          <w:tcPr>
            <w:tcW w:w="3220" w:type="dxa"/>
            <w:vAlign w:val="bottom"/>
          </w:tcPr>
          <w:p>
            <w:pPr>
              <w:spacing w:after="0"/>
              <w:rPr>
                <w:sz w:val="24"/>
                <w:szCs w:val="24"/>
                <w:color w:val="auto"/>
              </w:rPr>
            </w:pPr>
          </w:p>
        </w:tc>
        <w:tc>
          <w:tcPr>
            <w:tcW w:w="438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7720" w:space="220"/>
            <w:col w:w="3140"/>
          </w:cols>
          <w:pgMar w:left="320" w:top="455"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Limitation on redemption rights of shareholders holding more than 15% of the shares sold in this offering if we hold a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Tendering share certificates in connection with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-626110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interest to pay dissolution expenses) divided by the number of the then-outstanding public shares, which redemption will completely extinguish public shareholders’ rights as shareholders (including the right to receive further liquidation distributions, if any).</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(including our affiliates), together with any affiliate of such shareholder or any other person with whom such shareholder is acting in concert or as a “group” (as defined under Section 13 of the Exchange Act), will be restricted from seeking redemption rights with respect to Excess Shares (more than an aggregate of 15% of the public shares sold in this offering), without our prior consent. Our public shareholders’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require our public shareholders seeking to exercise their redemption rights, whether they are record holders or hold their shares in “street name,” to either tender their certificates to our transfer agent prior to the date set forth in the proxy material on the proposal to approve the initial business combination, or to</w:t>
      </w:r>
    </w:p>
    <w:p>
      <w:pPr>
        <w:spacing w:after="0" w:line="3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blank check companies provide no restrictions on the ability of shareholders to redeem shares based on the number of shares held by such shareholders in connection with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w:t>
      </w:r>
    </w:p>
    <w:p>
      <w:pPr>
        <w:sectPr>
          <w:pgSz w:w="11900" w:h="16838" w:orient="portrait"/>
          <w:cols w:equalWidth="0" w:num="3">
            <w:col w:w="3820" w:space="380"/>
            <w:col w:w="3520" w:space="220"/>
            <w:col w:w="3140"/>
          </w:cols>
          <w:pgMar w:left="320" w:top="455"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191"/>
        </w:trPr>
        <w:tc>
          <w:tcPr>
            <w:tcW w:w="2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deliver their shares to the transfer agent</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electronically using DTC’s DWAC System, at</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the holder’s option. The proxy materials that we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will furnish to holders of our public shares in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connection with our initial business combination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will indicate whether we are requiring public</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shareholders to satisfy such delivery</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requirements. Accordingly, a public shareholder</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would have up to the date set forth in the proxy</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material to tender its shares if it wishes to seek</w:t>
            </w:r>
          </w:p>
        </w:tc>
      </w:tr>
      <w:tr>
        <w:trPr>
          <w:trHeight w:val="234"/>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exercise its redemption rights.</w:t>
            </w:r>
          </w:p>
        </w:tc>
      </w:tr>
      <w:tr>
        <w:trPr>
          <w:trHeight w:val="30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Except for the withdrawal of interest income (if</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any) to pay our taxes, if any, none of the funds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held in trust will be released from the trust</w:t>
            </w:r>
          </w:p>
        </w:tc>
      </w:tr>
      <w:tr>
        <w:trPr>
          <w:trHeight w:val="234"/>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account until the earliest of:</w:t>
            </w:r>
          </w:p>
        </w:tc>
      </w:tr>
      <w:tr>
        <w:trPr>
          <w:trHeight w:val="319"/>
        </w:trPr>
        <w:tc>
          <w:tcPr>
            <w:tcW w:w="2660" w:type="dxa"/>
            <w:vAlign w:val="bottom"/>
          </w:tcPr>
          <w:p>
            <w:pPr>
              <w:spacing w:after="0"/>
              <w:rPr>
                <w:sz w:val="24"/>
                <w:szCs w:val="24"/>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(i) the completion of our initial business</w:t>
            </w:r>
          </w:p>
        </w:tc>
      </w:tr>
      <w:tr>
        <w:trPr>
          <w:trHeight w:val="234"/>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or earlier at our option;</w:t>
            </w:r>
          </w:p>
        </w:tc>
      </w:tr>
      <w:tr>
        <w:trPr>
          <w:trHeight w:val="319"/>
        </w:trPr>
        <w:tc>
          <w:tcPr>
            <w:tcW w:w="2660" w:type="dxa"/>
            <w:vAlign w:val="bottom"/>
          </w:tcPr>
          <w:p>
            <w:pPr>
              <w:spacing w:after="0"/>
              <w:rPr>
                <w:sz w:val="24"/>
                <w:szCs w:val="24"/>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(ii) the redemption of any public shares properly</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tendered in connection with a shareholder vote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amend our amended and restated</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memorandum and articles of association (A) to</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modify the substance or timing of our obligation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to provide holders of our Class A ordinary</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shares the right to have their shares redeemed in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connection with our initial business combination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or to redeem 100% of our public shares if we do</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not complete our initial business combination</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within 20 months, or such earlier date as our</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board of directors may approve, from the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w w:val="99"/>
              </w:rPr>
              <w:t>closing of this offering (or up to 24 months from</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the closing of this offering if we extend the</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period of time to consummate a business</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combination as described in this prospectus), or</w:t>
            </w:r>
          </w:p>
        </w:tc>
      </w:tr>
      <w:tr>
        <w:trPr>
          <w:trHeight w:val="216"/>
        </w:trPr>
        <w:tc>
          <w:tcPr>
            <w:tcW w:w="2660" w:type="dxa"/>
            <w:vAlign w:val="bottom"/>
          </w:tcPr>
          <w:p>
            <w:pPr>
              <w:spacing w:after="0"/>
              <w:rPr>
                <w:sz w:val="18"/>
                <w:szCs w:val="18"/>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 with respect to any other material provisions</w:t>
            </w:r>
          </w:p>
        </w:tc>
      </w:tr>
      <w:tr>
        <w:trPr>
          <w:trHeight w:val="234"/>
        </w:trPr>
        <w:tc>
          <w:tcPr>
            <w:tcW w:w="2660" w:type="dxa"/>
            <w:vAlign w:val="bottom"/>
          </w:tcPr>
          <w:p>
            <w:pPr>
              <w:spacing w:after="0"/>
              <w:rPr>
                <w:sz w:val="20"/>
                <w:szCs w:val="20"/>
                <w:color w:val="auto"/>
              </w:rPr>
            </w:pPr>
          </w:p>
        </w:tc>
        <w:tc>
          <w:tcPr>
            <w:tcW w:w="49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relating to shareholders’ rights or</w:t>
            </w:r>
          </w:p>
        </w:tc>
      </w:tr>
      <w:tr>
        <w:trPr>
          <w:trHeight w:val="378"/>
        </w:trPr>
        <w:tc>
          <w:tcPr>
            <w:tcW w:w="2660" w:type="dxa"/>
            <w:vAlign w:val="bottom"/>
          </w:tcPr>
          <w:p>
            <w:pPr>
              <w:spacing w:after="0"/>
              <w:rPr>
                <w:sz w:val="24"/>
                <w:szCs w:val="24"/>
                <w:color w:val="auto"/>
              </w:rPr>
            </w:pPr>
          </w:p>
        </w:tc>
        <w:tc>
          <w:tcPr>
            <w:tcW w:w="4940" w:type="dxa"/>
            <w:vAlign w:val="bottom"/>
            <w:gridSpan w:val="2"/>
          </w:tcPr>
          <w:p>
            <w:pPr>
              <w:jc w:val="right"/>
              <w:ind w:right="1879"/>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approved, the company would contact such shareholders to arrange for them to deliver their certificate to verify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7720" w:space="220"/>
            <w:col w:w="3120"/>
          </w:cols>
          <w:pgMar w:left="320" w:top="455" w:right="5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p>
      <w:pPr>
        <w:ind w:left="5260"/>
        <w:spacing w:after="0"/>
        <w:tabs>
          <w:tab w:leader="none" w:pos="8480" w:val="left"/>
        </w:tabs>
        <w:rPr>
          <w:sz w:val="20"/>
          <w:szCs w:val="20"/>
          <w:color w:val="auto"/>
        </w:rPr>
      </w:pPr>
      <w:r>
        <w:rPr>
          <w:rFonts w:ascii="Times New Roman" w:cs="Times New Roman" w:eastAsia="Times New Roman" w:hAnsi="Times New Roman"/>
          <w:sz w:val="14"/>
          <w:szCs w:val="14"/>
          <w:b w:val="1"/>
          <w:bCs w:val="1"/>
          <w:color w:val="auto"/>
        </w:rPr>
        <w:t>Terms of Our Offering</w:t>
      </w:r>
      <w:r>
        <w:rPr>
          <w:sz w:val="20"/>
          <w:szCs w:val="20"/>
          <w:color w:val="auto"/>
        </w:rPr>
        <w:tab/>
      </w: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16510</wp:posOffset>
            </wp:positionV>
            <wp:extent cx="43973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97375" cy="8255"/>
                    </a:xfrm>
                    <a:prstGeom prst="rect">
                      <a:avLst/>
                    </a:prstGeom>
                    <a:noFill/>
                  </pic:spPr>
                </pic:pic>
              </a:graphicData>
            </a:graphic>
          </wp:anchor>
        </w:drawing>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pre-initial business combination activity; or</w:t>
      </w:r>
    </w:p>
    <w:p>
      <w:pPr>
        <w:spacing w:after="0" w:line="122" w:lineRule="exact"/>
        <w:rPr>
          <w:sz w:val="20"/>
          <w:szCs w:val="20"/>
          <w:color w:val="auto"/>
        </w:rPr>
      </w:pPr>
    </w:p>
    <w:p>
      <w:pPr>
        <w:ind w:left="4200" w:right="3400" w:firstLine="6"/>
        <w:spacing w:after="0" w:line="255" w:lineRule="auto"/>
        <w:tabs>
          <w:tab w:leader="none" w:pos="45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an initial business combination within 20 months, or such earlier date as our board of directors may approve, from the closing of this offering (or up to 24 months from the closing of this offering if we extend the period of time to consummate a business combination).</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 See “—</w:t>
      </w:r>
      <w:r>
        <w:rPr>
          <w:rFonts w:ascii="Times New Roman" w:cs="Times New Roman" w:eastAsia="Times New Roman" w:hAnsi="Times New Roman"/>
          <w:sz w:val="18"/>
          <w:szCs w:val="18"/>
          <w:i w:val="1"/>
          <w:iCs w:val="1"/>
          <w:color w:val="auto"/>
        </w:rPr>
        <w:t>Other Considerations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NY 10167. The cost for our use of this space is included in the $16,667 per month fee we will pay to an affiliate of our sponsor for office space, administrative and support services. We consider our current office space adequate for our current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target business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target businesses, we do not believe that this limitation will be material.</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to evaluate our internal control procedures for the fiscal year ending December 31, 2024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Exempted companies are Cayman Islands companies conducting business mainly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Act (As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this offering, (b) in which we have total annual gross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revenue of at least $1.235 billion, or (c) in which we are deemed to be a large accelerated filer, which means the market value of our Class A ordinary shares that are held by non-affiliates exceeds $700 million as of June 30th of that fiscal year, and (2) the date on which we have issued more than $1.0 billion in non-convertible debt securities during the prior three-year period.</w:t>
      </w:r>
    </w:p>
    <w:p>
      <w:pPr>
        <w:spacing w:after="0" w:line="176" w:lineRule="exact"/>
        <w:rPr>
          <w:sz w:val="20"/>
          <w:szCs w:val="20"/>
          <w:color w:val="auto"/>
        </w:rPr>
      </w:pPr>
    </w:p>
    <w:p>
      <w:pPr>
        <w:ind w:left="120" w:right="280" w:firstLine="440"/>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Class A ordinary shares held by non-affiliates equals or exceeds $250 million as of the end of that year’s second fiscal quarter, or (2) our annual revenues equaled or exceeded</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$100 million during such completed fiscal year and the market value of our Class A ordinary shares held by non-affiliates exceeds $700 million as of the end of that year’s second fiscal quarter.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directors and executive officers in their capacity as such.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Officers, Directors and Director Nominees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officers, directors and director nominees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0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48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David B. Kaplan</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and Co-Chairman</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Strategy</w:t>
            </w:r>
          </w:p>
        </w:tc>
      </w:tr>
    </w:tbl>
    <w:p>
      <w:pPr>
        <w:spacing w:after="0" w:line="198"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David B. Kaplan serves as Chief Executive Officer and is a Co-Chairman of the board of directors of AAC II. Mr. Kaplan is a Co-Founder of Ares, a Director and Partner of Ares Management Corporation and Chief Executive Officer and Co-Chairman of AAC. He is a member of the Ares Executive Management Committee and on the Ares Private Equity Group’s Corporate Opportunities, Asia Private Equity and Special Opportunities Investment Committees. Mr. Kaplan joined Ares in 2003 from Shelter Capital Partners, LLC, where he was a Senior Principal from June 2000 to April 2003. From 1991 through 2000, Mr. Kaplan was a Senior Partner of Apollo Management, L.P. and its affiliates, during which time he completed multiple private equity investments from origination through exit. Prior to Apollo Management, L.P., Mr. Kaplan was a member of the Investment Banking Department at Donaldson, Lufkin &amp; Jenrette Securities Corp. Mr. Kaplan currently serves as Chairman of the supervisory board of directors of the parent entity of Mytheresa and as a member of the boards of directors of the parent entities of 99 Cents Only Stores LLC, Cooper’s Hawk Winery &amp; Restaurants and Guitar Center Holdings, Inc. Mr. Kaplan’s previous public company board of directors experience includes Maidenform Brands, Inc. where he served as the company’s Chairman, GNC Holdings, Inc., Dominick’s Supermarkets, Inc., Stream Global Services, Inc., Orchard Supply Hardware Stores Corporation, Smart &amp; Final, Inc. and Allied Waste Industries Inc. Mr. Kaplan also serves on the board of directors of Cedars-Sinai Medical Center and on the President’s Advisory Group of the University of Michigan. Mr. Kaplan graduated with High Distinction, Beta Gamma Sigma, from the University of Michigan, School of Business Administration with a B.B.A. concentrating in Finance. We believe Mr. Kaplan is well qualified to serve as the Co-Chairman of our board of directors due to his knowledge of and extensive experience with leveraged finance, acquisitions and private equity investments, in addition to his service as a director of other public and private companies.</w:t>
      </w:r>
    </w:p>
    <w:p>
      <w:pPr>
        <w:spacing w:after="0" w:line="196"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Michael J Arougheti serves as Co-Chairman of the board of directors of AAC II. Mr. Arougheti is a Co-Founder of Ares and the Chief Executive Officer and President, as well as a Director of Ares Management Corporation and Co-Chairman of AAC. He is a member of the Ares Executive Management Committee. He additionally serves as Co-Chairman of ARCC and as a director of ACRE. Mr. Arougheti also is a member of the Ares Credit Group’s U.S. Direct Lending and Pathfinder Fund Investment Committee, the Ares Equity Income Opportunity Strategy Portfolio Review Committee and the Ares Operations Management Group. Prior to joining Ares in 2004, Mr. Arougheti was employed by RBC from 2001 to 2004, where he was a Managing Partner of the Principal Finance Group of RBC Capital Partners and a member of the firm’s Mezzanine Investment Committee.</w:t>
      </w:r>
    </w:p>
    <w:p>
      <w:pPr>
        <w:spacing w:after="0" w:line="5"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Mr. Arougheti oversaw an investment team that originated, managed and monitored a diverse portfolio of middle-market leveraged loans, senior and junior subordinated debt, preferred equity and common stock and warrants on behalf of RBC and other third-party institutional investors. Mr. Arougheti joined RBC in October 2001 from Indosuez Capital, where he was a Principal and an Investment Committee member, responsible for originating, structuring and executing leveraged transactions across a broad range of products and asset classes. Prior to joining Indosuez in 1994, Mr. Arougheti worked at Kidder, Peabody &amp; Co., where he was a member of the firm’s Mergers and Acquisitions Group. Mr. Arougheti also serves on the board of directors of Operation HOPE, a not-for-profit organization focused on expanding economic opportunity in underserved communities through education and empowerment. Additionally, he is a member of the PATH Organization Leadership Council. Mr. Arougheti received a B.A. in Ethics, Politics and Economics, cum laude, from Yale</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University. We believe Mr. Arougheti is well qualified to serve as the Co-Chairman of our board of directors due to his knowledge of and extensive experience in investment management, leveraged finance and financial services, which give the board valuable industry-specific knowledge and expertise on these and other matters and, in addition to his service as a director of other public companies.</w:t>
      </w:r>
    </w:p>
    <w:p>
      <w:pPr>
        <w:spacing w:after="0" w:line="176"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Jarrod Phillips serves as Chief Financial Officer of AAC II. Mr. Phillips is a Partner and Chief Financial Officer of Ares Management Corporation. He serves on the Ares Executive Management Committee. Mr. Phillips is also the Chief Financial Officer of AAC. Prior to joining Ares in 2016,</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Mr. Phillips was a Partner at Deloitte &amp; Touche LLP, where he focused on financial services and asset management assurance and advisory services. Mr. Phillips was a member of the board of directors of Safe &amp; Sound, a not-for-profit dedicated to the strengthening of families and ending child abuse from 2010 until 2021 and is currently a member of the board of directors of School On Wheels, a not-for-profit providing tutoring and mentoring to students experiencing homelessness. Mr. Phillips holds a B.S. from Virginia Polytechnic Institute and State University in Accounting. Mr. Phillips holds a Certified Public Accountant license (inactive) in the State of California.</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Allyson Satin serves as Chief Operating Officer of AAC II. Ms. Satin is a Partner in Ares Strategic Initiatives. Ms. Satin is also the Chief Operating Officer of AAC. From 2009 to 2020, Ms. Satin was an investment professional in the Ares Private Equity Group where she participated in various leveraged buyouts, growth equity and distressed debt transactions. Prior to joining Ares in 2009, Ms. Satin was an investment banking Analyst in the Global Financial Sponsors Group at Barclays Capital (formerly Lehman Brothers). Ms. Satin currently serves as a member of the board of directors of the parent entity of 99 Cents Only Stores LLC. Ms. Satin holds a B.S. from the University of California, Berkeley Haas School of Business in Business Administration.</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Peter Ogilvie serves as Executive Vice President of Strategy of AAC II. Mr. Ogilvie is a Partner at Ares Management Corporation and Head of the Ares Corporate Strategy Team. Mr. Ogilvie co-founded the Corporate Strategy Team to drive growth and development across the Ares platform through acquisitions, balance sheet investments, partnerships and new team onboarding. He has led the Corporate Strategy Team’s efforts on numerous transactions including the acquisition of American Capital, Ltd. by Ares Capital Corporation, the business development company managed by Ares, and the formation of Ares’ business partnership with Sumitomo Mitsui Banking Corporation. Mr. Ogilvie is also the Executive Vice President of Strategy of AAC. Mr. Ogilvie serves as a board member for LightPoint Financial Technology and Ares Australia Management. Mr. Ogilvie joined Ares in 2007 in the U.S. Direct Lending Group and previously worked in the Leveraged Finance and Restructuring Group at Credit Suisse. Mr. Ogilvie holds a B.A. in Economics from Yale University.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Our board of directors is divided into three classes, with only one class of directors being elected in each year, and with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term of office of the first class of directors, consisting of , will expire at our first annual shareholder meeting. The term of office of the second class of directors, consisting of , will expire at our second annual shareholder meeting. The term of office of the third class of directors, consisting of , will expire at our third annual shareholder meeting.</w:t>
      </w:r>
    </w:p>
    <w:p>
      <w:pPr>
        <w:spacing w:after="0" w:line="18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completion of an initial business combination, any vacancy on the board of directors may be filled by a nominee chosen by the vote of a majority of the remaining directors.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sponsor, upon consummation of an initial business combination, will be entitled to nominate three individuals for appointment to our board of directors, as long as our sponsor holds any securities covered by the registration and shareholder rights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NYSE listing standards require that a majority of our board of directors be independent. Our board of directors has determined that “independent directors” as defined in the NYSE listing standards. Our independent directors will have regularly scheduled meetings at which only independent directors are present.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681" w:lineRule="exact"/>
        <w:rPr>
          <w:sz w:val="20"/>
          <w:szCs w:val="20"/>
          <w:color w:val="auto"/>
        </w:rPr>
      </w:pPr>
    </w:p>
    <w:p>
      <w:pPr>
        <w:sectPr>
          <w:pgSz w:w="11900" w:h="16838" w:orient="portrait"/>
          <w:cols w:equalWidth="0" w:num="2">
            <w:col w:w="10640" w:space="160"/>
            <w:col w:w="320"/>
          </w:cols>
          <w:pgMar w:left="320" w:top="455" w:right="459" w:bottom="1440"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None of our executive officers or directors have received any cash compensation from the company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$16,667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In addition, certain affiliates of our sponsor will be entitled to reimbursement for any out-of-pocket expenses (or an allocable portion thereof), to the extent that such affiliates incur expenses for services provided to us before our initial business combination.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76"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executive officers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executive officers.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do not intend to take any action to ensure that our directors and executive officers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directors and executive officer’s motivation in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identifying or selecting a target business but we do not believe that the ability of our directors and executive officers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an audit committee of the board of</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directors. will serve as members of our audit committee. Our board of directors has determined that each of is independent under the NYSE listing standards and applicable SEC rules. will serve as the Chairman of the audit committee. Each member of the audit committee is financially literate and our board of directors has determined that each of qualifies as an “audit committee financial expert” as defined in applicable SEC rules.</w:t>
      </w:r>
    </w:p>
    <w:p>
      <w:pPr>
        <w:spacing w:after="0" w:line="200" w:lineRule="exact"/>
        <w:rPr>
          <w:sz w:val="20"/>
          <w:szCs w:val="20"/>
          <w:color w:val="auto"/>
        </w:rPr>
      </w:pP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31" w:lineRule="exact"/>
        <w:rPr>
          <w:sz w:val="20"/>
          <w:szCs w:val="20"/>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public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our directors and executive officers our compliance with applicable laws and regulations;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our directors and executive officers and the independent auditor regarding financial reporting) for the purpose of preparing or issuing an audit report or related work;</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we will establish a nominating committee of our board</w:t>
      </w:r>
    </w:p>
    <w:p>
      <w:pPr>
        <w:spacing w:after="0" w:line="39"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of directors. The members of our nominating committee will be , and will serve as chairman of the nominating committee. Under the NYSE listing standards, we are required to have a nominating committee composed entirely of independent directors. Our board of directors has</w:t>
      </w:r>
    </w:p>
    <w:p>
      <w:pPr>
        <w:spacing w:after="0" w:line="1" w:lineRule="exact"/>
        <w:rPr>
          <w:sz w:val="20"/>
          <w:szCs w:val="20"/>
          <w:color w:val="auto"/>
        </w:rPr>
      </w:pPr>
    </w:p>
    <w:p>
      <w:pPr>
        <w:ind w:left="120"/>
        <w:spacing w:after="0"/>
        <w:tabs>
          <w:tab w:leader="none" w:pos="2600" w:val="left"/>
        </w:tabs>
        <w:rPr>
          <w:sz w:val="20"/>
          <w:szCs w:val="20"/>
          <w:color w:val="auto"/>
        </w:rPr>
      </w:pPr>
      <w:r>
        <w:rPr>
          <w:rFonts w:ascii="Times New Roman" w:cs="Times New Roman" w:eastAsia="Times New Roman" w:hAnsi="Times New Roman"/>
          <w:sz w:val="18"/>
          <w:szCs w:val="18"/>
          <w:color w:val="auto"/>
        </w:rPr>
        <w:t>determined that each of</w:t>
      </w:r>
      <w:r>
        <w:rPr>
          <w:sz w:val="20"/>
          <w:szCs w:val="20"/>
          <w:color w:val="auto"/>
        </w:rPr>
        <w:tab/>
      </w:r>
      <w:r>
        <w:rPr>
          <w:rFonts w:ascii="Times New Roman" w:cs="Times New Roman" w:eastAsia="Times New Roman" w:hAnsi="Times New Roman"/>
          <w:sz w:val="17"/>
          <w:szCs w:val="17"/>
          <w:color w:val="auto"/>
        </w:rPr>
        <w:t>is independent.</w:t>
      </w:r>
    </w:p>
    <w:p>
      <w:pPr>
        <w:spacing w:after="0" w:line="207" w:lineRule="exact"/>
        <w:rPr>
          <w:sz w:val="20"/>
          <w:szCs w:val="20"/>
          <w:color w:val="auto"/>
        </w:rPr>
      </w:pPr>
    </w:p>
    <w:p>
      <w:pPr>
        <w:jc w:val="both"/>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is responsible for overseeing the selection of persons to be nominated to serve on our board of directors. The nominating committee considers persons identified by its members, directors, executive officers, shareholders, investment bankers and others.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Guidelines for Selecting Director Nominees</w:t>
      </w:r>
    </w:p>
    <w:p>
      <w:pPr>
        <w:spacing w:after="0" w:line="11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will be specified in a charter to be adopted by us, generally will provide that persons to be nominated:</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shareholders.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our</w:t>
      </w:r>
    </w:p>
    <w:p>
      <w:pPr>
        <w:spacing w:after="0" w:line="27" w:lineRule="exact"/>
        <w:rPr>
          <w:sz w:val="20"/>
          <w:szCs w:val="20"/>
          <w:color w:val="auto"/>
        </w:rPr>
      </w:pPr>
    </w:p>
    <w:p>
      <w:pPr>
        <w:ind w:left="120" w:right="620"/>
        <w:spacing w:after="0" w:line="250" w:lineRule="auto"/>
        <w:rPr>
          <w:sz w:val="20"/>
          <w:szCs w:val="20"/>
          <w:color w:val="auto"/>
        </w:rPr>
      </w:pPr>
      <w:r>
        <w:rPr>
          <w:rFonts w:ascii="Times New Roman" w:cs="Times New Roman" w:eastAsia="Times New Roman" w:hAnsi="Times New Roman"/>
          <w:sz w:val="18"/>
          <w:szCs w:val="18"/>
          <w:color w:val="auto"/>
        </w:rPr>
        <w:t>board of directors. The members of our compensation committee will be , and will serve as chairman of the compensation committee.</w:t>
      </w:r>
    </w:p>
    <w:p>
      <w:pPr>
        <w:spacing w:after="0" w:line="200" w:lineRule="exact"/>
        <w:rPr>
          <w:sz w:val="20"/>
          <w:szCs w:val="20"/>
          <w:color w:val="auto"/>
        </w:rPr>
      </w:pP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NYSE listing standards, we are required to have a compensation committee composed entirely of independent directors. Our board of</w:t>
      </w:r>
    </w:p>
    <w:p>
      <w:pPr>
        <w:spacing w:after="0" w:line="27"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directors has determined that each of is independent. We will adopt a compensation committee charter, which will detail the principal functions of the compensation committee, including:</w:t>
      </w:r>
    </w:p>
    <w:p>
      <w:pPr>
        <w:spacing w:after="0" w:line="87" w:lineRule="exact"/>
        <w:rPr>
          <w:sz w:val="20"/>
          <w:szCs w:val="20"/>
          <w:color w:val="auto"/>
        </w:rPr>
      </w:pPr>
    </w:p>
    <w:p>
      <w:pPr>
        <w:ind w:left="1080" w:right="1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Section 16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directors and executive officers in complying with our proxy statement and annual report disclosure requirements;</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320" w:top="455" w:right="5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5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13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Certain of our directors and executive officers currently have, and any of them in the future may have additional, fiduciary and contractual duties to other entities, including without limitation, Ares, the Ares funds or their current or former portfolio companies and AAC.</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Certain of these entities may have overlapping investment objectives and potential conflicts may arise with respect to Ares’ decision regarding how to allocate investment opportunities among these entities. If any of our directors and executive officers becomes aware of a business combination opportunity that is suitable for a fund or entity to which he or she has then-current fiduciary or contractual obligations (including, without limitation, any Ares funds or their current or former portfolio companies, or another entity affiliated with one of our directors), then, subject to their fiduciary duties under Cayman Islands law, he or she will need to honor such fiduciary or contractual obligations to present such business combination opportunity to such fund or entity, before we can pursue such opportunity. If Ares, the Ares funds, AAC (if AAC does not consummate its announced business combination) or other entities decide to pursue any such opportunity, we may be precluded from pursuing the same. In addition, investment ideas generated within or presented to Ares or our directors and executive officers may be suitable for both us and Ares, a current or future Ares fund or one or more of their portfolio companies, AAC and, subject to applicable fiduciary duties or contractual obligations, will first be directed to Ares, such fund, investment vehicle or portfolio company or AAC before being directed, if at all, to us. None of Ares or any of our directors and executive officers who are also employed by Ares or its affiliates have any obligation to present us with any opportunity for a potential business combination of which they become aware in their capacities as employees of Ares, its funds or their portfolio companies. However, we do not expect these duties or contractual obligations to materially affect our ability to complete our initial business combination. Our amended and restated memorandum and articles of association provide that, to the fullest extent permitted by applicable law: (i) no individual serving as a director or an officer shall have any duty, except and to the extent expressly assumed by contract, to refrain from engaging directly or indirectly in the same or similar business activities or lines of business as us; and (ii) we renounce any interest or expectancy in, or in being offered an opportunity to participate in, any potential transaction or matter which may be a corporate opportunity (including with respect to any business transaction that may involve another Ares entity) for any director or officer, on the one hand, and us, on the other.</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or another entity affiliated with one of our directors.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our officers and directors are not required to commit any specified amount of time to our affairs, and, accordingly, will have conflicts of interest in allocating time among various business activities, including identifying potential business combinations and monitoring the related due diligence. Moreover, our officers and directors including, our chief executive officer, David B. Kaplan are and in the future will be required to commit time and attention to Ares and Ares funds. To the extent any conflict of interest arises between, on the one hand, us and, on the other hand, any of such entities (including, without limitation, arising as a result of certain of officers and directors being required to offer acquisition opportunities to such entities), Ares and its affiliated funds will resolve such conflicts of interest in their sole discretion in accordance with their then existing fiduciary, contractual and other duties and there can be no assurance that such conflict of interest will be resolved in our favor.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contractual obligations or other material management relationships: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74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4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100" w:type="dxa"/>
            <w:vAlign w:val="bottom"/>
          </w:tcPr>
          <w:p>
            <w:pPr>
              <w:spacing w:after="0"/>
              <w:rPr>
                <w:sz w:val="16"/>
                <w:szCs w:val="16"/>
                <w:color w:val="auto"/>
              </w:rPr>
            </w:pPr>
          </w:p>
        </w:tc>
        <w:tc>
          <w:tcPr>
            <w:tcW w:w="254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Affiliation</w:t>
            </w:r>
          </w:p>
        </w:tc>
      </w:tr>
      <w:tr>
        <w:trPr>
          <w:trHeight w:val="185"/>
        </w:trPr>
        <w:tc>
          <w:tcPr>
            <w:tcW w:w="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5"/>
              </w:rPr>
              <w:t>David B.</w:t>
            </w:r>
          </w:p>
        </w:tc>
        <w:tc>
          <w:tcPr>
            <w:tcW w:w="236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Kaplan</w:t>
            </w:r>
          </w:p>
        </w:tc>
        <w:tc>
          <w:tcPr>
            <w:tcW w:w="2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5"/>
                <w:szCs w:val="15"/>
                <w:color w:val="auto"/>
              </w:rPr>
              <w:t>Ares Management Corporation</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Investment Management, Various</w:t>
            </w:r>
          </w:p>
        </w:tc>
        <w:tc>
          <w:tcPr>
            <w:tcW w:w="100" w:type="dxa"/>
            <w:vAlign w:val="bottom"/>
          </w:tcPr>
          <w:p>
            <w:pPr>
              <w:spacing w:after="0"/>
              <w:rPr>
                <w:sz w:val="16"/>
                <w:szCs w:val="16"/>
                <w:color w:val="auto"/>
              </w:rPr>
            </w:pPr>
          </w:p>
        </w:tc>
        <w:tc>
          <w:tcPr>
            <w:tcW w:w="2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Director, Co-Founder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Guitar Center Holdings, Inc.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CHWR Group GP LLC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Restaurant &amp; Hospitality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 Netherlands Parent B.V</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Interim Chair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Cedars-Sinai Medical Center</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Non-profit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w:t>
            </w:r>
          </w:p>
        </w:tc>
      </w:tr>
      <w:tr>
        <w:trPr>
          <w:trHeight w:val="319"/>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6"/>
                <w:szCs w:val="26"/>
                <w:color w:val="auto"/>
                <w:vertAlign w:val="superscript"/>
              </w:rPr>
              <w:t>(1)</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Co-Founder President,</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Commercial Real Estate</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Capital Corporation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Co-Chairman</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 HOPE</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Non-profit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Co-Chairman of the Board of</w:t>
            </w: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w:t>
            </w:r>
          </w:p>
        </w:tc>
      </w:tr>
      <w:tr>
        <w:trPr>
          <w:trHeight w:val="333"/>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6"/>
                <w:szCs w:val="26"/>
                <w:color w:val="auto"/>
                <w:vertAlign w:val="superscript"/>
              </w:rPr>
              <w:t>(1)</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School on Wheels</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Non-profit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6"/>
                <w:szCs w:val="26"/>
                <w:color w:val="auto"/>
                <w:vertAlign w:val="superscript"/>
              </w:rPr>
              <w:t>(1)</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Holdings, Inc.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319"/>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Management Corporation</w:t>
            </w:r>
            <w:r>
              <w:rPr>
                <w:rFonts w:ascii="Times New Roman" w:cs="Times New Roman" w:eastAsia="Times New Roman" w:hAnsi="Times New Roman"/>
                <w:sz w:val="26"/>
                <w:szCs w:val="26"/>
                <w:color w:val="auto"/>
                <w:vertAlign w:val="superscript"/>
              </w:rPr>
              <w:t>(1)</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Various</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Partner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LightPoint Financial Technology</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Australia Management</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Blank Check Company</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of</w:t>
            </w: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Ares Acquisition Corporation</w:t>
            </w:r>
          </w:p>
        </w:tc>
        <w:tc>
          <w:tcPr>
            <w:tcW w:w="2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Strategy</w:t>
            </w:r>
          </w:p>
        </w:tc>
      </w:tr>
    </w:tbl>
    <w:p>
      <w:pPr>
        <w:spacing w:after="0" w:line="238" w:lineRule="exact"/>
        <w:rPr>
          <w:sz w:val="20"/>
          <w:szCs w:val="20"/>
          <w:color w:val="auto"/>
        </w:rPr>
      </w:pPr>
    </w:p>
    <w:p>
      <w:pPr>
        <w:ind w:left="5480" w:right="4900" w:hanging="5364"/>
        <w:spacing w:after="0" w:line="454" w:lineRule="auto"/>
        <w:tabs>
          <w:tab w:leader="none" w:pos="53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of its funds and other affiliates, including portfolio companies. 139</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6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5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or earlier at our option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may expire worthless. 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93" w:lineRule="exact"/>
        <w:rPr>
          <w:rFonts w:ascii="Times New Roman" w:cs="Times New Roman" w:eastAsia="Times New Roman" w:hAnsi="Times New Roman"/>
          <w:sz w:val="18"/>
          <w:szCs w:val="18"/>
          <w:color w:val="auto"/>
        </w:rPr>
      </w:pPr>
    </w:p>
    <w:p>
      <w:pPr>
        <w:ind w:left="1080" w:right="160" w:hanging="424"/>
        <w:spacing w:after="0" w:line="255"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directors or executive officers or any of their affiliates may make additional investments in us in connection with our initial business combination, although they are under no obligation to do so. If our sponsor or any of its affiliates (including, without limitation, any Ares funds or their portfolio companies) elect to make additional investments or provide financing, such proposed transactions could influence our sponsor’s motivation to complete our initial business combination. Ares and its affiliates and certain of the Ares funds engage in the business of originating, underwriting, syndicating, acquiring and trading loans and debt securities of corporate and other borrowers, and may provide or participate in any debt financing arrangement in connection with any acquisition, financing or disposition of any target business that we may make.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55"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 Our directors and officers or Ares or its affiliates may also sponsor, form or participate in other blank check companies similar to ours during the period in which we are seeking an initial business combination. In addition, funds managed by Ares may have provided debt to companies we pursue and such debt may or may not be paid off in connection with a potential business combination. Any such companies may present additional conflicts of interest in pursuing an acquisition target, particularly in the event there is overlap among investment mandates and the director and officer teams.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and disinterested directors, would obtain an opinion from an independent entity that commonly renders valuation opinions,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to effectuate, the completion of our initial business combination. Certain affiliates of our sponsor will be entitled to reimbursement for any out-of-pocket expenses (or an allocable portion thereof), to the extent that such affiliates incur expenses for services provided to us before our initial business combination. Further, commencing on the date our securities are first listed on the NYSE, we will also reimburse an affiliate of our sponsor for office space, secretarial and administrative services provided to us in the amount of $16,667 per month.</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In the event that we submit our initial business combination to our public shareholders for a vote, our sponsor, directors and executive officers have agreed to vote their founder shares and any public shares purchased during or after this offering in favor of our initial business combination.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5"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ordinary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directors and director nominees that beneficially owns ordinary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On February 8, 2023, 22,281,250 Class B ordinary shares were surrendered and thereupon cancelled by the Company resulting in a decrease in the total number of Class B ordinary shares outstanding from 25,156,250 shares to 2,875,000 shares. Prior to the initial investment in the company of $25,000 by the sponsor, the company had no assets, tangible or intangible. Up to 375,000 founder shares are subject to forfeiture depending on the extent to which the underwriters’ over-allotment option is exercised. The post-offering percentages in the following table assume that the underwriters do not exercise their over-allotment option, that the sponsor forfeits 375,000 founder shares and that there are 12,500,000 ordinary shares issued and outstanding after this offering, consisting of (i) 10,000,000 Class A ordinary shares (which are public shares) and (ii) 2,500,000 Class B ordinary shares.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80" w:type="dxa"/>
            <w:vAlign w:val="bottom"/>
            <w:gridSpan w:val="2"/>
            <w:vMerge w:val="restart"/>
          </w:tcPr>
          <w:p>
            <w:pPr>
              <w:jc w:val="center"/>
              <w:ind w:right="71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2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6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80" w:type="dxa"/>
            <w:vAlign w:val="bottom"/>
            <w:gridSpan w:val="2"/>
          </w:tcPr>
          <w:p>
            <w:pPr>
              <w:jc w:val="center"/>
              <w:ind w:right="713"/>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2280" w:type="dxa"/>
            <w:vAlign w:val="bottom"/>
            <w:vMerge w:val="restart"/>
          </w:tcPr>
          <w:p>
            <w:pPr>
              <w:spacing w:after="0"/>
              <w:rPr>
                <w:sz w:val="12"/>
                <w:szCs w:val="12"/>
                <w:color w:val="auto"/>
              </w:rPr>
            </w:pPr>
          </w:p>
        </w:tc>
        <w:tc>
          <w:tcPr>
            <w:tcW w:w="1580" w:type="dxa"/>
            <w:vAlign w:val="bottom"/>
            <w:gridSpan w:val="2"/>
          </w:tcPr>
          <w:p>
            <w:pPr>
              <w:jc w:val="center"/>
              <w:ind w:right="71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2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0" w:type="dxa"/>
            <w:vAlign w:val="bottom"/>
          </w:tcPr>
          <w:p>
            <w:pPr>
              <w:spacing w:after="0"/>
              <w:rPr>
                <w:sz w:val="1"/>
                <w:szCs w:val="1"/>
                <w:color w:val="auto"/>
              </w:rPr>
            </w:pPr>
          </w:p>
        </w:tc>
      </w:tr>
      <w:tr>
        <w:trPr>
          <w:trHeight w:val="165"/>
        </w:trPr>
        <w:tc>
          <w:tcPr>
            <w:tcW w:w="2560" w:type="dxa"/>
            <w:vAlign w:val="bottom"/>
            <w:tcBorders>
              <w:bottom w:val="single" w:sz="8" w:color="auto"/>
            </w:tcBorders>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1580" w:type="dxa"/>
            <w:vAlign w:val="bottom"/>
            <w:gridSpan w:val="2"/>
          </w:tcPr>
          <w:p>
            <w:pPr>
              <w:jc w:val="center"/>
              <w:ind w:right="713"/>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(2)</w:t>
            </w:r>
          </w:p>
        </w:tc>
        <w:tc>
          <w:tcPr>
            <w:tcW w:w="14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(3)</w:t>
            </w: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Ares Acquisition Holdings II LP (or sponsor)</w:t>
            </w:r>
            <w:r>
              <w:rPr>
                <w:rFonts w:ascii="Times New Roman" w:cs="Times New Roman" w:eastAsia="Times New Roman" w:hAnsi="Times New Roman"/>
                <w:sz w:val="25"/>
                <w:szCs w:val="25"/>
                <w:color w:val="auto"/>
                <w:vertAlign w:val="superscript"/>
              </w:rPr>
              <w:t>(3)</w:t>
            </w:r>
          </w:p>
        </w:tc>
        <w:tc>
          <w:tcPr>
            <w:tcW w:w="8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jc w:val="right"/>
              <w:ind w:right="573"/>
              <w:spacing w:after="0"/>
              <w:rPr>
                <w:sz w:val="20"/>
                <w:szCs w:val="20"/>
                <w:color w:val="auto"/>
              </w:rPr>
            </w:pPr>
            <w:r>
              <w:rPr>
                <w:rFonts w:ascii="Times New Roman" w:cs="Times New Roman" w:eastAsia="Times New Roman" w:hAnsi="Times New Roman"/>
                <w:sz w:val="13"/>
                <w:szCs w:val="13"/>
                <w:color w:val="auto"/>
                <w:w w:val="78"/>
              </w:rPr>
              <w:t>(4)</w:t>
            </w: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2,875,000</w:t>
            </w:r>
          </w:p>
        </w:tc>
        <w:tc>
          <w:tcPr>
            <w:tcW w:w="78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78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2,500,000</w:t>
            </w:r>
          </w:p>
        </w:tc>
        <w:tc>
          <w:tcPr>
            <w:tcW w:w="4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Arougheti</w:t>
            </w:r>
          </w:p>
        </w:tc>
        <w:tc>
          <w:tcPr>
            <w:tcW w:w="1580" w:type="dxa"/>
            <w:vAlign w:val="bottom"/>
            <w:gridSpan w:val="2"/>
          </w:tcPr>
          <w:p>
            <w:pPr>
              <w:jc w:val="right"/>
              <w:ind w:right="57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B. Kaplan</w:t>
            </w:r>
          </w:p>
        </w:tc>
        <w:tc>
          <w:tcPr>
            <w:tcW w:w="1580" w:type="dxa"/>
            <w:vAlign w:val="bottom"/>
            <w:gridSpan w:val="2"/>
            <w:shd w:val="clear" w:color="auto" w:fill="CCEEFF"/>
          </w:tcPr>
          <w:p>
            <w:pPr>
              <w:jc w:val="right"/>
              <w:ind w:right="57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1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Jarrod Phillips</w:t>
            </w:r>
          </w:p>
        </w:tc>
        <w:tc>
          <w:tcPr>
            <w:tcW w:w="1580" w:type="dxa"/>
            <w:vAlign w:val="bottom"/>
            <w:gridSpan w:val="2"/>
          </w:tcPr>
          <w:p>
            <w:pPr>
              <w:jc w:val="right"/>
              <w:ind w:right="57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Allyson Satin</w:t>
            </w:r>
          </w:p>
        </w:tc>
        <w:tc>
          <w:tcPr>
            <w:tcW w:w="1580" w:type="dxa"/>
            <w:vAlign w:val="bottom"/>
            <w:gridSpan w:val="2"/>
            <w:shd w:val="clear" w:color="auto" w:fill="CCEEFF"/>
          </w:tcPr>
          <w:p>
            <w:pPr>
              <w:jc w:val="right"/>
              <w:ind w:right="57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1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Ogilvie</w:t>
            </w:r>
          </w:p>
        </w:tc>
        <w:tc>
          <w:tcPr>
            <w:tcW w:w="1580" w:type="dxa"/>
            <w:vAlign w:val="bottom"/>
            <w:gridSpan w:val="2"/>
          </w:tcPr>
          <w:p>
            <w:pPr>
              <w:jc w:val="right"/>
              <w:ind w:right="573"/>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 xml:space="preserve"> (5)</w:t>
            </w:r>
          </w:p>
        </w:tc>
        <w:tc>
          <w:tcPr>
            <w:tcW w:w="1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directors and director nominees as a</w:t>
            </w: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(individuals)</w:t>
            </w:r>
          </w:p>
        </w:tc>
        <w:tc>
          <w:tcPr>
            <w:tcW w:w="1580" w:type="dxa"/>
            <w:vAlign w:val="bottom"/>
            <w:gridSpan w:val="2"/>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right="12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our shareholders is c/o Ares Management LLC, 245 Park Avenue, 44th Floor, New York, NY 10167.</w:t>
      </w:r>
    </w:p>
    <w:p>
      <w:pPr>
        <w:ind w:left="540" w:right="600" w:hanging="424"/>
        <w:spacing w:after="0" w:line="25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ordinary shares. Such shares will automatically convert into Class A ordinary shares at the time of the consummation of our initial business combination or earlier at the at the option of the holders thereof as described in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is a Cayman Islands limited partnership managed by affiliates of Ares. Ares Acquisition Holdings II is the general partner of sponsor. Ares Investment Holdings LLC is the general partner of Ares</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60"/>
        <w:spacing w:after="0" w:line="252" w:lineRule="auto"/>
        <w:rPr>
          <w:sz w:val="20"/>
          <w:szCs w:val="20"/>
          <w:color w:val="auto"/>
        </w:rPr>
      </w:pPr>
      <w:r>
        <w:rPr>
          <w:rFonts w:ascii="Times New Roman" w:cs="Times New Roman" w:eastAsia="Times New Roman" w:hAnsi="Times New Roman"/>
          <w:sz w:val="18"/>
          <w:szCs w:val="18"/>
          <w:color w:val="auto"/>
        </w:rPr>
        <w:t>Acquisition Holdings II. Ares Investment Holdings LLC is an indirect subsidiary of Ares Management Corporation (“Ares Management”). Ares Management GP LLC (“Ares Management GP”) is the sole holder of the Class B common stock, $0.01 par value per share, of Ares Management (the “Ares Class B Common Stock”) and Ares Voting LLC (“</w:t>
      </w:r>
      <w:r>
        <w:rPr>
          <w:rFonts w:ascii="Times New Roman" w:cs="Times New Roman" w:eastAsia="Times New Roman" w:hAnsi="Times New Roman"/>
          <w:sz w:val="18"/>
          <w:szCs w:val="18"/>
          <w:i w:val="1"/>
          <w:iCs w:val="1"/>
          <w:color w:val="auto"/>
        </w:rPr>
        <w:t>Ares Voting</w:t>
      </w:r>
      <w:r>
        <w:rPr>
          <w:rFonts w:ascii="Times New Roman" w:cs="Times New Roman" w:eastAsia="Times New Roman" w:hAnsi="Times New Roman"/>
          <w:sz w:val="18"/>
          <w:szCs w:val="18"/>
          <w:color w:val="auto"/>
        </w:rPr>
        <w:t>”) is the sole holder of the Class C common stock, $0.01 par value per share, of Ares Management (the “Ares Class C Common Stock”). 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Holdco LLC (“Ares Partners”). Ares Partners is managed by a board of managers, which is composed of Michael Arougheti, Ryan Berry, R. Kipp deVeer, David Kaplan, Michael McFerran, Antony Ressler and Bennett Rosenthal (collectively, the “Board Members”). Mr. Ressler generally has veto authority over Board Members’ decisions.</w:t>
      </w:r>
    </w:p>
    <w:p>
      <w:pPr>
        <w:spacing w:after="0" w:line="6" w:lineRule="exact"/>
        <w:rPr>
          <w:sz w:val="20"/>
          <w:szCs w:val="20"/>
          <w:color w:val="auto"/>
        </w:rPr>
      </w:pPr>
    </w:p>
    <w:p>
      <w:pPr>
        <w:ind w:left="540" w:right="360" w:hanging="424"/>
        <w:spacing w:after="0" w:line="250"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founder shares that will be surrendered to us for no consideration by our sponsor depending on the extent to which the underwriters’ over-allotment option is exercised.</w:t>
      </w: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indirectly owned by this individual as a result of his partnership interest in our sponsor.</w:t>
      </w:r>
    </w:p>
    <w:p>
      <w:pPr>
        <w:spacing w:after="0" w:line="20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Immediately after this offering, our sponsor will beneficially own 20% of the then issued and outstanding ordinary shares (assuming it does not purchase any units in this offering).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 If we increase or decrease the size of this offering, we will effect a share capitalization or a share contribution back to capital, or other appropriate mechanism, as applicable, with respect to the Class B ordinary shares immediately prior to the consummation of this offering in such amount as to maintain the number of founder shares, on an as-converted basis, at 20% of our issued and outstanding ordinary shares upon the consummation of this offering.</w:t>
      </w:r>
    </w:p>
    <w:p>
      <w:pPr>
        <w:spacing w:after="0" w:line="189" w:lineRule="exact"/>
        <w:rPr>
          <w:sz w:val="20"/>
          <w:szCs w:val="20"/>
          <w:color w:val="auto"/>
        </w:rPr>
      </w:pPr>
    </w:p>
    <w:p>
      <w:pPr>
        <w:jc w:val="center"/>
        <w:ind w:right="140"/>
        <w:spacing w:after="0" w:line="312" w:lineRule="auto"/>
        <w:rPr>
          <w:sz w:val="20"/>
          <w:szCs w:val="20"/>
          <w:color w:val="auto"/>
        </w:rPr>
      </w:pPr>
      <w:r>
        <w:rPr>
          <w:rFonts w:ascii="Times New Roman" w:cs="Times New Roman" w:eastAsia="Times New Roman" w:hAnsi="Times New Roman"/>
          <w:sz w:val="17"/>
          <w:szCs w:val="17"/>
          <w:color w:val="auto"/>
        </w:rPr>
        <w:t>Our sponsor and our executive officers and directors have agreed (a) to vote any shares owned by them in favor of any proposed business combination and (b) not to require us to redeem any shares in connection with a shareholder vote to approve a proposed initial business combination.</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sponsor and our officers and directors are deemed to be our “promoters” as such term is defined under the federal securities laws.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Transfers of Founder Shares and Private Placement Warrants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founder shares, private placement warrants and any Class A ordinary shares issued upon conversion or exercise thereof are each subject to transfer restrictions pursuant to lock-up provisions in the agreements entered into by our sponsor and directors and executive officers. Our sponsor and each of our directors and executive officers have agreed not to transfer, assign or sell any of their founder shares (or Class A ordinary shares issued upon conversion thereof) until the earliest of (a) one year after the completion of our initial business combination and (b) upon consummation of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 (i) 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in the case of clauses (a) through (f) these permitted transferees must enter into a written agreement agreeing to be bound by these transfer restrictions and the other restrictions contained in the letter agreement.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On February 8, 2023, 22,281,250 Class B ordinary shares were surrendered and thereupon cancelled by the Company resulting in a decrease in the total number of Class B ordinary shares outstanding from 25,156,250 shares to 2,875,000 shares. The number of founder shares surrendered was determined based on the expectation that following the surrender, the remaining founder shares would represent 20% of the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our issued and outstanding ordinary shares upon the consummation of this offering. Up to 375,000 founder shares are subject to forfeiture by our sponsor depending on the extent to which the underwriters’ over-allotment option is exercised. The founder shares (including the Class A ordinary shares issuable upon conversion thereof) may not, subject to certain limited exceptions, be transferred, assigned or sold by the holder.</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sponsor has agreed to purchase an aggregate of 7,000,000 private placement warrants (or 7,300,000 private placement warrants if the over-allotment option is exercised in full) for a purchase price of $1.00 per whole warrant in a private placement that will occur simultaneously with the closing of this offering. As such, our sponsor’s interest in this transaction is valued at between $7,000,000 and $7,300,000, depending on the number of private placement warrants purchased. Each private placement warrant entitles the holder to purchase one Class A ordinary share at $11.50 per share. The private placement warrants (including the Class A ordinary shares issuable upon exercise thereof) may not, subject to certain limited exceptions, be transferred, assigned or sold by the holder until thirty (30) days after the completion of the initial business combination.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our sponsor has agreed to lend us $1,000,000 (and up to an additional $150,000 if the underwriter’s over-allotment option is exercised in full) as of the closing date of this offering at no interest, which we refer to throughout this prospectus as the overfunding loans. The overfunding loans will be repaid upon the closing of our initial business combination or converted into warrants of the post-business combination entity at a price of $1.00 per warrant (or any combination thereof), at our sponsor’s discretion, which warrants will be identical to the private placement warrants. The overfunding loans are being extended in order to ensure that the amount in the trust account is $10.10 per public share. If we do not complete an initial business combination, we will not repay the overfunding loans from amounts held in the trust account, and its proceeds will be distributed to our public shareholders; however, we may repay the overfunding loans if there are funds available outside the trust account to do so.</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more fully discussed in the section of this prospectus entitled “</w:t>
      </w:r>
      <w:r>
        <w:rPr>
          <w:rFonts w:ascii="Times New Roman" w:cs="Times New Roman" w:eastAsia="Times New Roman" w:hAnsi="Times New Roman"/>
          <w:sz w:val="18"/>
          <w:szCs w:val="18"/>
          <w:i w:val="1"/>
          <w:iCs w:val="1"/>
          <w:color w:val="auto"/>
        </w:rPr>
        <w:t>Management—Conflicts of Interest</w:t>
      </w:r>
      <w:r>
        <w:rPr>
          <w:rFonts w:ascii="Times New Roman" w:cs="Times New Roman" w:eastAsia="Times New Roman" w:hAnsi="Times New Roman"/>
          <w:sz w:val="18"/>
          <w:szCs w:val="18"/>
          <w:color w:val="auto"/>
        </w:rPr>
        <w: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at our option, pursue an acquisition opportunity jointly with Ares, one or more parties affiliated with Ares, including without limitation, officers and affiliates of Ares or Ares funds, or investors in such Ares funds. Any such party may co-invest with us in the target business at the time of our initial business combination, or we could raise additional proceeds to complete the acquisition by borrowing from or issuing to such parties a class of equity or debt securities. The amount and other terms and conditions of any such joint acquisition or specified future issuance would be determined at the time thereof.</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currently maintain our executive offices at 245 Park Avenue, 44th Floor, New York, New York 10167. The cost for our use of this space is included in the $16,667 per month fee we will pay to an affiliate of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except certain affiliates of our sponsor will be entitled to reimbursement for any out-of-pocket expenses (or an allocable portion thereof), to the extent that such affiliates incur expenses for services provided to us before our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Prior to the consummation of this offering, our sponsor has agreed to loan us up to $400,000 to be used for a portion of the expenses of this offering. These loans are non-interest bearing, unsecured and are due at the earlier of December 31, 2023 or the closing of this offering. The loan will be repaid upon the closing of this offering out of the offering proceeds not held in the trust account.</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$2,000,000 of such working capital loans may be convertible into warrants at a price of $1.00 per warrant at the option of the lender. The warrants would be identical to the private placement warrants, including as to exercise price, exercisability and exercise period. The terms of such working capital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will have 20 months, or such earlier date as our board of directors may approve, from the closing of this offering to consummate our initial business combination. If we anticipate that we may be unable to consummate our initial business combination within such 20-month period, we may seek shareholder approval to amend our amended and restated memorandum and articles of association to extend the date by which we must consummate our initial business combination. If we seek shareholder approval for an extension, holders of Class A ordinary shares will be offered an opportunity to redeem their shares at a per share price, payable in cash, equal to the aggregate amount then on deposit in the trust account, including interest earned thereon (less taxes payable), divided by the number of then issued and outstanding Class A ordinary shares, subject to applicable law. Alternatively, or in the event we are unsuccessful in obtaining shareholder approval for a proposed extension(s), we may, but are not obligated to, extend the period in which we must complete our initial business combination two times, for an additional two-month period each time, up to an aggregate of</w:t>
      </w:r>
    </w:p>
    <w:p>
      <w:pPr>
        <w:ind w:left="120"/>
        <w:spacing w:after="0"/>
        <w:tabs>
          <w:tab w:leader="none" w:pos="6340" w:val="left"/>
          <w:tab w:leader="none" w:pos="7300" w:val="left"/>
        </w:tabs>
        <w:rPr>
          <w:sz w:val="20"/>
          <w:szCs w:val="20"/>
          <w:color w:val="auto"/>
        </w:rPr>
      </w:pPr>
      <w:r>
        <w:rPr>
          <w:rFonts w:ascii="Times New Roman" w:cs="Times New Roman" w:eastAsia="Times New Roman" w:hAnsi="Times New Roman"/>
          <w:sz w:val="18"/>
          <w:szCs w:val="18"/>
          <w:color w:val="auto"/>
        </w:rPr>
        <w:t>24 months, by depositing into the trust account for each two-month extension $</w:t>
      </w:r>
      <w:r>
        <w:rPr>
          <w:sz w:val="20"/>
          <w:szCs w:val="20"/>
          <w:color w:val="auto"/>
        </w:rPr>
        <w:tab/>
      </w:r>
      <w:r>
        <w:rPr>
          <w:rFonts w:ascii="Times New Roman" w:cs="Times New Roman" w:eastAsia="Times New Roman" w:hAnsi="Times New Roman"/>
          <w:sz w:val="18"/>
          <w:szCs w:val="18"/>
          <w:color w:val="auto"/>
        </w:rPr>
        <w:t>, or $</w:t>
      </w:r>
      <w:r>
        <w:rPr>
          <w:sz w:val="20"/>
          <w:szCs w:val="20"/>
          <w:color w:val="auto"/>
        </w:rPr>
        <w:tab/>
      </w:r>
      <w:r>
        <w:rPr>
          <w:rFonts w:ascii="Times New Roman" w:cs="Times New Roman" w:eastAsia="Times New Roman" w:hAnsi="Times New Roman"/>
          <w:sz w:val="17"/>
          <w:szCs w:val="17"/>
          <w:color w:val="auto"/>
        </w:rPr>
        <w:t>if the underwriters’ over-allotment option is</w:t>
      </w:r>
    </w:p>
    <w:p>
      <w:pPr>
        <w:spacing w:after="0" w:line="9"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exercised in full ($0. per public share in either case). In this case, shareholders will not be offered an opportunity to vote on an extension and holders of Class A ordinary shares will not be offered an opportunity to redeem their shares.</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do not have sufficient funds to make such deposits into the trust account, the Contributor will contribute to us, as a loan upon five days’ advance notice prior the end of each applicable deadline, the deposit for each two-month period. In the event the company intends to effect an extension, we will issue a press release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announcing such intention at least three days prior to the applicable deadline. Any such Contributions would be made in the form of non-interest bearing extension loans. If we complete our initial business combination, we will, at the option of the Contributor, repay such loaned amounts out of the proceeds of the trust account released to us or convert a portion or all of the total extension loan amount into warrants of the post-business combination entity at a price of $1.00 per warrant, which warrants will be identical to the private placement warrants. If we do not complete a business combination, we will repay such Contributions only from funds held outside of the trust account. Any such extension loans would be in addition to the overfunding loans and any working capital loans made to us. Our sponsor and its affiliates or designees are not obligated to fund the trust account to extend the time for us to complete our initial business combination.</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the applicable time period, we will, as promptly as reasonably possible but not more than ten business days thereafter, redeem the public shares for a pro rata portion of the funds held in the trust account, subject to our obligations under Cayman Islands law to provide for claims of creditors and the requirements of other applicable law. In such event, the warrants may be worthless.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our initial business combination, our directors and executive officers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enter into a registration and shareholder rights agreement pursuant to which our sponsor will be entitled to certain registration rights with respect to the private placement warrants, the warrants issuable upon conversion of the overfunding loans and the working capital loans and extension loans (if any) and the Class A ordinary shares issuable upon exercise of the foregoing and upon conversion of the founder shares, and, upon consummation of our initial business combination, to nominate three individuals for appointment to our board of directors, as long as our sponsor holds any securities covered by the registration and shareholder rights agreement, which is described under the section of this prospectus entitled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Securities—Registration and Shareholder Rights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engage Ares Management Capital Markets LLC, an affiliate of our sponsor, to provide consulting and advisory services to us in connection with this offering, for which it will receive an advisory fee equal to % of the aggregate net proceeds of this offering (including the proceeds of the exercise of the over-allotment option, if any), excluding underwriting compensation. We will also engage Ares Management Capital Markets LLC as an advisor in connection with our initial business combination for which it will earn an advisory fee of % of the proceeds of this offering (including the proceeds of the exercise of the overallotment option, if any) payable at closing of our initial business combination. Ares Management Capital Markets LLC’s fee will be reimbursed from a portion of the cash fees paid to the underwriters.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charter, providing for the review, approval 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Cayman Islands exempted company and our affairs will be governed by our amended and restated memorandum and articles of association, the Companies Act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unit has an offering price of $10.00 and consists of one Class A ordinary share and one-half of one redeemable warrant. Each whole warrant entitles the holder thereof to purchase one Class A ordinary share at a price of $11.50 per share, subject to adjustment.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Class A ordinary shares and warrants comprising the units are expected to begin separate trading on the 52nd day following the date of this prospectus (or, if such date is not a business day, the following business day) unless the representative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to separate the units into Class A ordinary shares and warrants.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 event will the Class A ordinary shares and warrants be traded separately until we have filed with the SEC a Current Report on Form 8-K which includes an audited balance sheet reflecting our receipt of the gross proceeds of this offering, the sale of the private placement warrants and the overfunding loans.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units will automatically separate into their component parts and will not be traded after completion of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Prior to the date of this prospectus, there were 2,875,000 Class B ordinary shares issued and outstanding, all of which were held of record by our sponsor (and its permitted transferees). Upon the closing of this offering, 12,500,000 of our ordinary shares will be outstanding (assuming no exercise of the underwriters’ over-allotment option) including:</w:t>
      </w:r>
    </w:p>
    <w:p>
      <w:pPr>
        <w:spacing w:after="0" w:line="8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Class A ordinary shares underlying the units issued as part of this offering; and</w:t>
      </w:r>
    </w:p>
    <w:p>
      <w:pPr>
        <w:spacing w:after="0" w:line="130" w:lineRule="exact"/>
        <w:rPr>
          <w:rFonts w:ascii="Times New Roman" w:cs="Times New Roman" w:eastAsia="Times New Roman" w:hAnsi="Times New Roman"/>
          <w:sz w:val="18"/>
          <w:szCs w:val="18"/>
          <w:color w:val="auto"/>
        </w:rPr>
      </w:pPr>
    </w:p>
    <w:p>
      <w:pPr>
        <w:ind w:left="5480" w:right="3880" w:hanging="4824"/>
        <w:spacing w:after="0" w:line="454" w:lineRule="auto"/>
        <w:tabs>
          <w:tab w:leader="none" w:pos="10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Class B ordinary shares held by our sponsor (and its permitted transferees). 149</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we increase or decrease the size of this offering, we will effect a share capitalization or share contribution back to capital or other appropriate mechanism, as applicable, with respect to our Class B ordinary 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an ordinary resolution under Cayman Islands law, which requires the affirmative vote of shareholders holding a majority of ordinary shares who attend and vote at a shareholder meeting is required to approve any such matter voted upon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appointment of directors, with the result that the holders of more than 50% of the shares voted for the appointment of directors can elect all of the directors. Our shareholders are entitled to receive ratable dividends when, as and if declared by the board of directors out of funds legally available therefor.</w:t>
      </w:r>
    </w:p>
    <w:p>
      <w:pPr>
        <w:spacing w:after="0" w:line="190"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only one class of directors being elected in each year and each class (except for those directors appointed prior to our first annual shareholder meeting) serving a three-year term. In accordance with the NYSE corporate governance requirements, we are not required to hold an annual shareholder meeting until one year after our first fiscal year end following our listing on the NYSE. There is no requirement under the Companies Act for us to hold shareholder meetings or elect directors. We may not hold an annual shareholder meeting to elect new directors prior to the consummation of our initial business combination. Prior to the completion of an initial business combination, any vacancy on the board of directors may be filled by a nominee chosen by a majority of the remaining directors.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will provide our public shareholders with the opportunity to have all or a portion of their public shares redeemed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thereon (less taxes payable), divided by the number of the then-outstanding public shares, subject to the limitations described herein. The amount in the trust account is initially anticipated to be $10.10 per public share. The per share amount we will distribute to investors who properly elect to redeem their shares will not be reduced by the deferred underwriting commissions we will pay to the underwriters. The redemption rights will include the requirement that a beneficial owner must identify itself before we can validly redeem its shares. Our sponsor and each of our directors and executive officers have entered into an agreement with us, pursuant to which they have agreed to waive their redemption rights with respect to their founder shares and public shares in connection with (i) the completion of our initial business combination or earlier at our option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requirements,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 However, the participation of our sponsor, officers, directors, advisors or their affiliates in privately-negotiated transactions,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requiring us to redeem its shares with respect to Excess Shares, without our prior consent. However, we would not be restricting our shareholders’ ability to vote all of their shares (including Excess Shares) for or against our initial business combination. Our shareholders’ inability to require us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to dispose such shares would be required to sell their shares in open market transactions, potentially at a loss.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event we seek shareholder approval, we will complete our initial business combination only if we obtain the approval of an ordinary resolution under Cayman Islands law, which requires the affirmative vote of shareholders holding a majority of ordinary shares who attend and vote at a shareholder meeting.</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this case, our sponsor and each of our directors and executive officers have agreed to vote their founder shares and any public shares purchased during or after this offering in favor of our initial business combination. As a result, if approved as an ordinary resolution, in addition to our sponsor’s founder shares, we would need 3,750,001, or 37.5% (assuming all issued and outstanding shares are voted), or 625,001, or 6.25% (assuming only the minimum number of shares representing a quorum are voted), of the 10,000,000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 (subject to the limitation described in the preceding paragraph).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memorandum and articles of association, 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we will as promptly as reasonably possible but no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 Our sponsor, directors and executive officers have entered into an agreement with us, pursuant to which they have agreed to waive their rights to liquidating distributions from the trust account with respect to their founder shares if we fail to consummate an initial business combination within 20 months, or such earlier date as our board of directors may approve, from the closing of this offering (or up to 24 months from the closing of this offering if we extend the period of time to consummate a business combination). However, if our sponsor, directors or executive officers acquire public shares in or after this offering, they will be entitled to liquidating distributions from the company’s operating account with respect to their founder shares and from the trust account with respect to such 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95"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require us to redeem their public shares for cash at a per share price equal to the aggregate amount then on deposit in the trust account, including interest earned thereon (less taxes payable) divided by the number of the then-outstanding public shares, upon the completion of our initial business combination, subject to the limitations described herein.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an agreement with us, pursuant to which they have agreed (A) to waive their redemption rights with respect to their founder shares and public shares in connection with the completion of our initial business combination or earlier at our option, (B) to waive their redemption rights with respect to their founder shares and public shares in connection with a shareholder vote to approve an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(ii) with respect to any other material provision relating to the rights or pre-initial business combination activity of holders of our Class A ordinary shares and (C) to waive their rights to liquidating distributions from the trust account with respect to their founder shares if we fail to consummate an initial business combination within 20 months, or such earlier date as our board of directors may approve, from the closing of this offering (or up to 24 months from the closing of this offering if we extend the period of time to</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consummate a business combination), although they will be entitled to liquidating distributions from the company’s operating account with respect to their founder shares and from the trust account with respect to any public shares they hold if we fail to complete our initial business combination within such time period, (iii) the founder shares will automatically convert into Class A ordinary shares at the time of the consummation of our initial business combination or earlier at the option of the holder, and (iv) are entitled to registration rights. If we submit our initial business combination to our public shareholders for a vote, our sponsor, our directors and each of our directors and executive officers have agreed to vote their founder shares and any public shares purchased during or after this offering in favor of our initial business combination.</w:t>
      </w:r>
    </w:p>
    <w:p>
      <w:pPr>
        <w:spacing w:after="0" w:line="187"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founder shares will automatically convert into Class A ordinary shares at the time of the consummation of our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overfunding loans or extension loans. In no event will the Class B ordinary shares convert into Class A ordinary shares at a rate of less than one to one.</w:t>
      </w:r>
    </w:p>
    <w:p>
      <w:pPr>
        <w:spacing w:after="0" w:line="17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public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131" w:lineRule="exact"/>
        <w:rPr>
          <w:sz w:val="20"/>
          <w:szCs w:val="20"/>
          <w:color w:val="auto"/>
        </w:rPr>
      </w:pPr>
    </w:p>
    <w:p>
      <w:pPr>
        <w:ind w:left="1080" w:right="8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 in issue;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Shareholders’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Class A ordinary share at a price of $11.50 per share, subject to adjustment as discussed below, at any time commencing on the later of one year from the closing of this offering and 30 days after the completion of our initial business combination, except as discussed in the immediately succeeding paragraph.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94"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15 business days after the closing of our initial business combination, we will use our commercially reasonable efforts to file with the SEC a post-effective amendment to the registration statement for this offering or a new registration statement for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registration, under the Securities Act, of the Class A ordinary shares issuable upon exercise of the warrants, and we will use our commercially reasonable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issuance of shares under applicable blue sky laws to the extent an exemption is not available. If a registration statement covering the issuance of Class A ordinary shares issuable upon exercise of the warrants is not effective by the 60th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such event, each holder would pay the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(defined below) less the exercise price of the warrants by (y) the fair market value of the Class A ordinary shares. The “fair market value” as used in this paragraph means the average reported last sale price of the Class A ordinary shares for the 10 trading days ending on the trading day prior to the date on which the notice of exercise is received by the warrant agent.</w:t>
      </w:r>
    </w:p>
    <w:p>
      <w:pPr>
        <w:spacing w:after="0" w:line="193"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(except as described herein with respect to the private placement warrants):</w:t>
      </w:r>
    </w:p>
    <w:p>
      <w:pPr>
        <w:spacing w:after="0" w:line="66"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30-days’ prior written notice of redemption given after the warrants become exercisable to each warrant holder;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61"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 Warrants—Anti-Dilution Adjustments</w:t>
      </w:r>
      <w:r>
        <w:rPr>
          <w:rFonts w:ascii="Times New Roman" w:cs="Times New Roman" w:eastAsia="Times New Roman" w:hAnsi="Times New Roman"/>
          <w:sz w:val="18"/>
          <w:szCs w:val="18"/>
          <w:color w:val="auto"/>
        </w:rPr>
        <w:t>”) for any 20 trading days within a 30-trading day period ending on the third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prior to the date on which we send the notice of redemption to the warrant holders.</w:t>
      </w:r>
    </w:p>
    <w:p>
      <w:pPr>
        <w:spacing w:after="0" w:line="180"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We will not redeem the warrants as described above unless such warrants are then exercisable and an effective registration statement under the Securities Act covering the issuance of the Class A ordinary shares issuable upon exercise of the warrants is then effective and a current prospectus relating to those Class A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adjustments to the number of shares issuable upon exercise or the exercise price of a warrant as described under the heading “</w:t>
      </w:r>
      <w:r>
        <w:rPr>
          <w:rFonts w:ascii="Times New Roman" w:cs="Times New Roman" w:eastAsia="Times New Roman" w:hAnsi="Times New Roman"/>
          <w:sz w:val="18"/>
          <w:szCs w:val="18"/>
          <w:i w:val="1"/>
          <w:iCs w:val="1"/>
          <w:color w:val="auto"/>
        </w:rPr>
        <w:t>—Warrants—Public Shareholders’ Warrants—Anti-dilution Adjustments</w:t>
      </w:r>
      <w:r>
        <w:rPr>
          <w:rFonts w:ascii="Times New Roman" w:cs="Times New Roman" w:eastAsia="Times New Roman" w:hAnsi="Times New Roman"/>
          <w:sz w:val="18"/>
          <w:szCs w:val="18"/>
          <w:color w:val="auto"/>
        </w:rPr>
        <w:t>”) as well as the $11.50 (for whole shares) warrant exercise price after the redemption notice is issued.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shareholders of issuing the maximum number of Class A ordinary shares issuable upon the exercise of our public warrants. If we take advantage of this option, all holders of public warrants would pay the exercise price by surrendering their public warrants for that number of Class A ordinary shares equal to the quotient obtained by dividing (x) the product of the number of Class A ordinary shares underlying the warrants, multiplied by the difference between the exercise price of the warrants and the “fair market value” of the Class A ordinary shares (defined below) by (y) the fair market value of the Class A ordinary shares. The “fair market value” as used in this paragraph means the average last reported sale price of the Class A ordinary shares for the 10 trading days ending on the trading day immediately prior to the date on which the notice of redemption is sent to the holders of the warrants. If we take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we do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 fractional Class A ordinary shares will be issued upon exercise. If, upon exercise, a holder would be entitled to receive a fractional interest in a share, we will round down to the nearest whole number of the number of Class A ordinary shares to be issued to the holder. If, at the time of redemption, the warrants are exercisable for a security other than the Class A ordinary shares pursuant to the warrant agreement (for instance, if we are not the surviving company in our initial business combination), the warrants may be exercised for such security. At such time as the warrants become exercisable for a security other than the Class A ordinary shares, the Company (or surviving company) will use its commercially reasonable efforts to register under the Securities Act the security issuable upon the exercise of the warrants.</w:t>
      </w:r>
    </w:p>
    <w:p>
      <w:pPr>
        <w:spacing w:after="0" w:line="29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Ownership limit. </w:t>
      </w: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Class A ordinary shares is increased by a capitalization or share dividend payable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or by a sub-division of ordinary shares or other similar event, then, on the effective date of such capitalization or share dividend,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“historical fair market value” (as defined below)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historical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amount payable upon exercise or conversion and (ii) “historical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76"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7"/>
          <w:szCs w:val="17"/>
          <w:color w:val="auto"/>
        </w:rPr>
        <w:t>In addition, if we, at any time while the warrants are outstanding and unexpired, pay a dividend or make a distribution in cash, securities or other assets to all or substantially all of the holders of the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w:t>
      </w:r>
    </w:p>
    <w:p>
      <w:pPr>
        <w:spacing w:after="0" w:line="5" w:lineRule="exact"/>
        <w:rPr>
          <w:sz w:val="20"/>
          <w:szCs w:val="20"/>
          <w:color w:val="auto"/>
        </w:rPr>
      </w:pPr>
    </w:p>
    <w:p>
      <w:pPr>
        <w:ind w:left="420" w:hanging="304"/>
        <w:spacing w:after="0"/>
        <w:tabs>
          <w:tab w:leader="none" w:pos="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substance or timing of our obligation to provide holders of our Class A ordinary shares the right to have their shares redeemed in</w:t>
      </w:r>
    </w:p>
    <w:p>
      <w:pPr>
        <w:spacing w:after="0" w:line="9" w:lineRule="exact"/>
        <w:rPr>
          <w:rFonts w:ascii="Times New Roman" w:cs="Times New Roman" w:eastAsia="Times New Roman" w:hAnsi="Times New Roman"/>
          <w:sz w:val="18"/>
          <w:szCs w:val="18"/>
          <w:color w:val="auto"/>
        </w:rPr>
      </w:pPr>
    </w:p>
    <w:p>
      <w:pPr>
        <w:ind w:left="12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or the fair market value of any securities or other assets paid on each Class A ordinary share in respect of such event.</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the number of outstanding Class A ordinary shares is decreased by a consolidation, combination or reclassification of Class A ordinary shares or other similar event, then, on the effective date of such consolidation, combination, reclassification or similar event, the number of Class A ordinary shares issuable on exercise of each warrant will be decreased in proportion to such decrease in outstanding Class A ordinary shares.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and (ii) to the extent that such issuance is made to our sponsor or its affiliates,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exercise price of the warrants will be adjusted (to the nearest cent) to be equal to 115% of the higher of the Market Value and the Newly Issued Price, the $18.00 per share redemption trigger price described above under “—Redemption of warrants when the price per Class A ordinary share equals or exceeds $18.00” will be adjusted (to the nearest cent) to be equal to 180% of the higher of the Market Value and the Newly Issued Price.</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9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Class A ordinary shares to be issued to the warrant holder.</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r>
        <w:rPr>
          <w:rFonts w:ascii="Times New Roman" w:cs="Times New Roman" w:eastAsia="Times New Roman" w:hAnsi="Times New Roman"/>
          <w:sz w:val="18"/>
          <w:szCs w:val="18"/>
          <w:color w:val="auto"/>
        </w:rPr>
        <w:t>.” This provision applies to claims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does not apply to claims under the Exchange Act or any claim for which the federal district courts of the United States of America are the sole and exclusive forum. We note, however, that there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Except as described below, the private placement warrants have terms and provisions that are identical to those of the warrants being sold as part of the units in this offering. 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w:t>
      </w:r>
      <w:r>
        <w:rPr>
          <w:rFonts w:ascii="Times New Roman" w:cs="Times New Roman" w:eastAsia="Times New Roman" w:hAnsi="Times New Roman"/>
          <w:sz w:val="18"/>
          <w:szCs w:val="18"/>
          <w:i w:val="1"/>
          <w:iCs w:val="1"/>
          <w:color w:val="auto"/>
        </w:rPr>
        <w:t>Principal Shareholders—Restrictions on Transfers of Founder Shares and Private Placement Warrants</w:t>
      </w:r>
      <w:r>
        <w:rPr>
          <w:rFonts w:ascii="Times New Roman" w:cs="Times New Roman" w:eastAsia="Times New Roman" w:hAnsi="Times New Roman"/>
          <w:sz w:val="18"/>
          <w:szCs w:val="18"/>
          <w:color w:val="auto"/>
        </w:rPr>
        <w:t>,” to our officers and directors and other persons or entities affiliated with the initial purchasers of the private placement warrants) and they will not be redeemable by us.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difference between the exercise price of the warrants and the “sponsor fair market value” (defined below) by (y) the sponsor fair market value. For these purposes, the “sponsor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 holders of such warrants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$2,000,000 of such working capital loans may be convertible into warrants of the post business combination entity at a price of $1.00 per warrant at the option of the lender. Such warrants would be identical to the private placement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share capitalization or a share contribution back to capital or other appropriate mechanism, as applicable, with respect to our founder shares immediately prior to the consummation of this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Differences in Corporate Law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In certain circumstances, the Companies Act allows for mergers or consolidations between two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is facilitated by the laws of that other jurisdiction).</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 majority of 66 2/3 %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8"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w:t>
      </w:r>
    </w:p>
    <w:p>
      <w:pPr>
        <w:spacing w:after="0" w:line="1" w:lineRule="exact"/>
        <w:rPr>
          <w:sz w:val="20"/>
          <w:szCs w:val="20"/>
          <w:color w:val="auto"/>
        </w:rPr>
      </w:pPr>
    </w:p>
    <w:p>
      <w:pPr>
        <w:ind w:left="120" w:right="720" w:hanging="4"/>
        <w:spacing w:after="0" w:line="260" w:lineRule="auto"/>
        <w:tabs>
          <w:tab w:leader="none" w:pos="3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foreign company is able to pay its debts as they fall due and that the merger or consolidated is bona fide and not intended to defraud unsecured creditors of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company; (ii) that in respect of the transfer of any security interest granted by the foreign company to the surviving or consolidated company</w:t>
      </w:r>
    </w:p>
    <w:p>
      <w:pPr>
        <w:spacing w:after="0" w:line="27" w:lineRule="exact"/>
        <w:rPr>
          <w:sz w:val="20"/>
          <w:szCs w:val="20"/>
          <w:color w:val="auto"/>
        </w:rPr>
      </w:pPr>
    </w:p>
    <w:p>
      <w:pPr>
        <w:ind w:left="120" w:hanging="4"/>
        <w:spacing w:after="0" w:line="253" w:lineRule="auto"/>
        <w:tabs>
          <w:tab w:leader="none" w:pos="3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Where the above procedures are adopted, the Companies Act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w:t>
      </w:r>
    </w:p>
    <w:p>
      <w:pPr>
        <w:spacing w:after="0" w:line="2" w:lineRule="exact"/>
        <w:rPr>
          <w:sz w:val="20"/>
          <w:szCs w:val="20"/>
          <w:color w:val="auto"/>
        </w:rPr>
      </w:pPr>
    </w:p>
    <w:p>
      <w:pPr>
        <w:ind w:left="120" w:right="80" w:hanging="4"/>
        <w:spacing w:after="0" w:line="251" w:lineRule="auto"/>
        <w:tabs>
          <w:tab w:leader="none" w:pos="3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19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an annual shareholder meeting, or extraordinary shareholder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00" w:lineRule="exact"/>
        <w:rPr>
          <w:sz w:val="20"/>
          <w:szCs w:val="20"/>
          <w:color w:val="auto"/>
        </w:rPr>
      </w:pPr>
    </w:p>
    <w:p>
      <w:pPr>
        <w:ind w:left="1080" w:right="2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proposing to act illegally or beyond the scope of our corporate authority and the statutory provisions as to majority vote have been complied 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Squeeze-out Provisions. </w:t>
      </w:r>
      <w:r>
        <w:rPr>
          <w:rFonts w:ascii="Times New Roman" w:cs="Times New Roman" w:eastAsia="Times New Roman" w:hAnsi="Times New Roman"/>
          <w:sz w:val="18"/>
          <w:szCs w:val="18"/>
          <w:color w:val="auto"/>
        </w:rPr>
        <w:t>When a takeover offer is made and accepted by holders of 90% of the shares to whom the offer relates within 4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82"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Further, transactions similar to a merger, reconstruction or an amalgamation may in some circumstances be achieved through means other than these statutory provisions, such as a share capital exchange, asset acquisition or control, or through contractual arrangements of an operating business.</w:t>
      </w:r>
    </w:p>
    <w:p>
      <w:pPr>
        <w:spacing w:after="0" w:line="13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Maples and Calder (Cayman) LLP, our Cayman Islands counsel, is not aware of any reported class action having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0"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6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Exclusive forum for certain lawsuits. </w:t>
      </w:r>
      <w:r>
        <w:rPr>
          <w:rFonts w:ascii="Times New Roman" w:cs="Times New Roman" w:eastAsia="Times New Roman" w:hAnsi="Times New Roman"/>
          <w:sz w:val="18"/>
          <w:szCs w:val="18"/>
          <w:color w:val="auto"/>
        </w:rPr>
        <w:t>Our amended and restated memorandum and articles of association provide that unless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consents in writing to the selection of an alternative forum, the courts of the Cayman Islands shall have exclusive jurisdiction over any claim or dispute arising out of or in connection with our amended and restated memorandum and articles of association or otherwise related in any way to each shareholder’s shareholding in the Company, including but not limited to (i) any derivative action or proceeding brought on behalf of the Company,</w:t>
      </w:r>
    </w:p>
    <w:p>
      <w:pPr>
        <w:spacing w:after="0" w:line="1" w:lineRule="exact"/>
        <w:rPr>
          <w:sz w:val="20"/>
          <w:szCs w:val="20"/>
          <w:color w:val="auto"/>
        </w:rPr>
      </w:pPr>
    </w:p>
    <w:p>
      <w:pPr>
        <w:ind w:left="120" w:right="180" w:hanging="4"/>
        <w:spacing w:after="0" w:line="251" w:lineRule="auto"/>
        <w:tabs>
          <w:tab w:leader="none" w:pos="3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any fiduciary or other duty owed by any current or former director, officer, shareholder or other employee of the Company to the Company or the shareholders of the Company, (iii) any action asserting a claim arising pursuant to any provision of the Companies Act or our amended and restated memorandum and articles of association, or (iv) any action asserting a claim against the Company governed by the internal affairs doctrine (as such concept is recognized under the laws of the United States of America) and that each shareholder irrevocably submits to the exclusive jurisdiction of the courts of the Cayman Islands over all such claims or disputes. The forum selection provision in our amended and restated memorandum and articles of association will not apply to actions or suits brought to enforce any liability or duty created by the Securities Act, Exchange Act or any claim for which the federal district courts of the United States of America are, as a matter of the laws of the United States, the sole and exclusive forum for determination of such a claim.</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also provide that, without prejudice to any other rights or remedies that the Company may have, each shareholder of the Company acknowledges that damages alone would not be an adequate remedy for any breach of the selection of the courts of the Cayman Islands as exclusive forum and that accordingly the Company shall be entitled, without proof of special damages, to the remedies of injunction, specific performance or other equitable relief for any threatened or actual breach of the selection of the courts of the Cayman Islands as exclusive forum.</w:t>
      </w:r>
    </w:p>
    <w:p>
      <w:pPr>
        <w:spacing w:after="0" w:line="181"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Enforcement of Civil Liabilities. </w:t>
      </w:r>
      <w:r>
        <w:rPr>
          <w:rFonts w:ascii="Times New Roman" w:cs="Times New Roman" w:eastAsia="Times New Roman" w:hAnsi="Times New Roman"/>
          <w:sz w:val="18"/>
          <w:szCs w:val="18"/>
          <w:color w:val="auto"/>
        </w:rPr>
        <w:t>The Cayman Islands has a different body of securities laws as compared to the United States and provides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to investors. Additionally, Cayman Islands companies may not have standing to sue before the Federal courts of the United States.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been advised by Maples and Calder (Cayman) LLP, our Cayman Islands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Special Considerations for Exempted Companies. </w:t>
      </w:r>
      <w:r>
        <w:rPr>
          <w:rFonts w:ascii="Times New Roman" w:cs="Times New Roman" w:eastAsia="Times New Roman" w:hAnsi="Times New Roman"/>
          <w:sz w:val="18"/>
          <w:szCs w:val="18"/>
          <w:color w:val="auto"/>
        </w:rPr>
        <w:t>We are an exempted company with limited liability under the Companies Act. The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7"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shareholder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Memorandum and Articles of Association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provide that a quorum at our shareholder meetings will consist of not less than one-third of the ordinary shares entitled to vote at such meeting being present in person or by proxy; provided that a quorum of a majority of the ordinary shares entitled to vote at such meeting being present in person or by proxy is required for any meeting that is convened to vote on a business combination or any amendment to our amended and restated memorandum and articles of association that would modify (A)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any other provision relating to the rights or pre-initial business combination activity of holders of our Class A ordinary shares a majority of the ordinary shares entitled to vote at such meeting being present in person or by proxy.</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85" w:lineRule="exact"/>
        <w:rPr>
          <w:sz w:val="20"/>
          <w:szCs w:val="20"/>
          <w:color w:val="auto"/>
        </w:rPr>
      </w:pPr>
    </w:p>
    <w:p>
      <w:pPr>
        <w:ind w:left="1080" w:right="40" w:hanging="424"/>
        <w:spacing w:after="0" w:line="254"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not consummated an initial business combination within 20 months, or such earlier date as our board of directors may approve, from the closing of this offering (or up to 24 months from the closing of this offering if we extend the period of time to consummate a business combination), we will as promptly as reasonably possible but no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our obligations under Cayman Islands law to provide for claims of creditors and to the other requirements of applicable law;</w:t>
      </w:r>
    </w:p>
    <w:p>
      <w:pPr>
        <w:spacing w:after="0" w:line="9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memorandum and articles of association to (x) extend the time we have to consummate a business combination beyond 20 months, or such earlier date as our board of directors may approve, from the closing of this offering (or up to 24 months from the closing of this offering if we extend the period of time to consummate a business combination) or</w:t>
      </w:r>
    </w:p>
    <w:p>
      <w:pPr>
        <w:spacing w:after="0" w:line="3"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amend the foregoing provisions;</w:t>
      </w:r>
    </w:p>
    <w:p>
      <w:pPr>
        <w:spacing w:after="0" w:line="11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intend to enter into a business combination with a target business that is affiliated with our sponsor, our directors or our executive officers, we are not prohibited from doing so.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event we enter into such a transaction, we, or a committee of independent directors, will obtain an opinion from an independent entity that commonly renders valuation opinions that such a business combination is fair to our company from a financial point of view;</w:t>
      </w:r>
    </w:p>
    <w:p>
      <w:pPr>
        <w:spacing w:after="0" w:line="67" w:lineRule="exact"/>
        <w:rPr>
          <w:sz w:val="20"/>
          <w:szCs w:val="20"/>
          <w:color w:val="auto"/>
        </w:rPr>
      </w:pPr>
    </w:p>
    <w:p>
      <w:pPr>
        <w:ind w:left="1080" w:right="40" w:hanging="424"/>
        <w:spacing w:after="0" w:line="258"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88"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20 months, or such earlier date as our board of directors may approve, from the closing of this offering (or up to 24 months from the closing of this offering if we extend the period of time to consummate a business combination) or (B) with respect to any other material provision relating to the rights or pre-initial business combination activity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thereon (less taxes payable), divided by the number of the then-outstanding public shares, subject to the limitations described herein; and</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with another blank check company or a similar company with nominal operations.</w:t>
      </w:r>
    </w:p>
    <w:p>
      <w:pPr>
        <w:spacing w:after="0" w:line="225"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Companies Act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shareholder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Anti-Money Laundering—Cayman Islands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Act (As Revised) of the Cayman Islands if the disclosure relates to criminal conduct or money laundering, or (ii) a police officer of the rank of constable or higher, or the Financial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Reporting Authority, pursuant to the Terrorism Act (As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Protection—Cayman Islands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We have certain duties under the Data Protection Act (As Revised) of the Cayman Islands (the “DPA”) based on internationally accepted principles of data privacy.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through your investment in the company you will provide us with certain personal information which constitutes personal data within the meaning of the DPA (“personal data”). In the following discussion, the “company” refers to us and our affiliates or delegates, except where the context requires otherwise.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also obtain personal data from other public sources. Personal data includes, without limitation, the following information relating to a shareholder 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Company May Use a Shareholder’s Personal Data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31" w:lineRule="exact"/>
        <w:rPr>
          <w:sz w:val="20"/>
          <w:szCs w:val="20"/>
          <w:color w:val="auto"/>
        </w:rPr>
      </w:pPr>
    </w:p>
    <w:p>
      <w:pPr>
        <w:ind w:left="5480" w:right="2460" w:hanging="4932"/>
        <w:spacing w:after="0" w:line="454" w:lineRule="auto"/>
        <w:tabs>
          <w:tab w:leader="none" w:pos="107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our rights and obligations under any purchase agreements; 166</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we are subject (such as compliance with anti-money laundering and FATCA/CRS requirements); or</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we wish to use personal data for other specific purposes (including, if applicable, any purpose that requires your consent), we will contact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Why We May Transfer Your Personal Data</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anticipate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Data Protection Measures We Take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Any transfer of personal data by us or our duly authorized affiliates or delegates outside of the Cayman Islands shall be in accordance with the requirements of the DPA.</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and our duly authorized affiliates 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shall notify you of any personal data breach that is reasonably likely to result in a risk to your interests, fundamental rights or freedoms or those data subjects to whom the relevant personal data relates.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Amended and Restated Memorandum and Articles of Association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general meetings.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Immediately after this offering we will have 12,500,000 ordinary shares (or 14,375,000 ordinary shares if the underwriters’ over-allotment option is exercised in full) issued and outstanding on an as-converted basis. Of these shares, the Class A ordinary shares sold in this offering (10,000,000 Class A ordinary shares if the underwriters’ over-allotment option is not exercised and 11,500,000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(2,500,000 founder shares if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underwriters’ over-allotment option is not exercised and 2,875,000 founder shares if the underwriters’ over-allotment option is exercised in full) and all of the outstanding private placement warrants (7,000,000 private placement warrants if the underwriters’ over-allotment option is not exercised and 7,300,000 private placement warrants if the underwriters’ over-allotment option is exercised in full) will be restricted securities under Rule 144, in that they were issued in private transactions not involving a public offering.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Rule 144</w:t>
      </w:r>
    </w:p>
    <w:p>
      <w:pPr>
        <w:spacing w:after="0" w:line="119"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or warrants for at least 6 months would be entitled to sell their securities provided that (i) such person is not deemed to have been one of our affiliates at the time of, or at any time during the 3 months preceding, a sale and (ii) we are subject to the Exchange Act periodic reporting requirements for at least 3 months before the sale and have filed all required reports under Section 13 or 15(d) of the Exchange Act during the 12 months (or such shorter period as we were required to file reports) preceding the sale.</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6 months but who are our affiliates at the time of, or at any time during the 3 months preceding, a sale, would be subject to additional restrictions, by which such person would be entitled to sell within any three-month period only a number of securities that does not exceed the greater of:</w:t>
      </w:r>
    </w:p>
    <w:p>
      <w:pPr>
        <w:spacing w:after="0" w:line="81" w:lineRule="exact"/>
        <w:rPr>
          <w:sz w:val="20"/>
          <w:szCs w:val="20"/>
          <w:color w:val="auto"/>
        </w:rPr>
      </w:pPr>
    </w:p>
    <w:p>
      <w:pPr>
        <w:ind w:left="1080" w:right="2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which will equal 125,000 shares immediately after this offering (or 143,750 shares if the underwriters exercise their over-allotment option in full);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ordinary shares during the four calendar weeks preceding the filing of a notice on Form 144 with respect to the sale.</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1"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and Shareholder Rights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warrants that may be issued upon conversion of working capital loans, the overfunding loans and the extension loans (and any Class A ordinary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5"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shares issuable upon the exercise of the private placement warrants and warrants that may be issued upon conversion of working capital loans, the overfunding loans and the extension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Once the securities comprising the units begin separate trading, we expect that the Class A ordinary shares and warrants will be listed on the NYSE under the symbols “ ” and “ ,”</w:t>
      </w:r>
    </w:p>
    <w:p>
      <w:pPr>
        <w:ind w:left="120" w:right="340"/>
        <w:spacing w:after="0" w:line="260" w:lineRule="auto"/>
        <w:rPr>
          <w:sz w:val="20"/>
          <w:szCs w:val="20"/>
          <w:color w:val="auto"/>
        </w:rPr>
      </w:pPr>
      <w:r>
        <w:rPr>
          <w:rFonts w:ascii="Times New Roman" w:cs="Times New Roman" w:eastAsia="Times New Roman" w:hAnsi="Times New Roman"/>
          <w:sz w:val="18"/>
          <w:szCs w:val="18"/>
          <w:color w:val="auto"/>
        </w:rPr>
        <w:t>respectively. The units will automatically separate into their component parts and will not be traded following the completion of our initial business combination.</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Cayman Islands and U.S.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advisors on the possible tax consequences of investing in our securities under the laws of their country of citizenship, residence or domicile.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 Existing Cayman Islands 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corporate tax. The Cayman Islands currently has no income, corporate or capital gains tax and no estate duty, inheritance tax or gift tax.</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No stamp duty is payable in respect of the issue of the warrants. An instrument of transfer in respect of a warrant is stampable if executed in or brought into the Cayman Islands.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stamp duty is payable in respect of the issue of our Class A ordinary shares or on an instrument of transfer in respect of such shares.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been incorporated under the laws of the Cayman Islands as an exempted company with limited liability and, as such, has applied for and received an undertaking from the Financial Secretary of the Cayman Islands in the following form:</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Tax Concessions Act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Revised)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Undertaking as to Tax Concessions</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provision of Section 6 of The Tax Concessions Act (As Revised), the Financial Secretary undertakes with Ares Acquisition Corporation II (the “Company”):</w:t>
      </w:r>
    </w:p>
    <w:p>
      <w:pPr>
        <w:spacing w:after="0" w:line="67" w:lineRule="exact"/>
        <w:rPr>
          <w:sz w:val="20"/>
          <w:szCs w:val="20"/>
          <w:color w:val="auto"/>
        </w:rPr>
      </w:pPr>
    </w:p>
    <w:p>
      <w:pPr>
        <w:ind w:left="540" w:right="30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law which is hereafter enacted in the Islands imposing any tax to be levied on profits, income, gains or appreciations shall apply to the Company or its operations; and</w:t>
      </w:r>
    </w:p>
    <w:p>
      <w:pPr>
        <w:spacing w:after="0" w:line="67"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that no tax to be levied on profits, income, gains or appreciations or which is in the nature of estate duty or inheritance tax shall be payable:</w:t>
      </w:r>
    </w:p>
    <w:p>
      <w:pPr>
        <w:spacing w:after="0" w:line="6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On or in respect of the shares, debentures or other obligations of the Company;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by way of the withholding in whole or part, of any relevant payment as defined in Section 6(3) of the Tax Concessions Act (As Revised).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concessions shall be for a period of 20 years from the date 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94"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founders, officers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taxpayers that are subject to the mark-to-market accounting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shares by vote or value;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 or in connection with services;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securities as part of a straddle, constructive sale, hedging, conversion or other integrated or similar transaction;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83"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units, Class A ordinary shares or warrants that is for U.S. federal income tax purposes: (i) an individual citizen or resident of the United States; (ii) 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United States persons have the authority to control all substantial decisions of the trust, or (B) it has in effect a valid election to be treated as a United States person.</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(including an entity or arrangement classified as a partnership for U.S. federal income tax purposes or other pass-through entity) holds or is the beneficial owner of our securities, the U.S. federal income tax treatment of a partner, member or other beneficial owner in the partnership (or other pass-through entity) generally will depend on the status of the partner, member or other beneficial owner and the activities of the partner, member or other beneficial owner and the partnership (or other pass-through entity) and certain determinations made at the partner, member or other beneficial owner level. If you are a partner, member or other beneficial owner of a partnership (or other pass-through entity) holding our securities, we urge you to consult your tax advisor.</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U.S. FEDERAL, STATE, LOCAL, AND NON-UNITED STATES TAX LAWS.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Allocation of Purchase Price and Characterization of a Unit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Class A ordinary share and one-half of one warrant, a whole one of which is exercisable to acquire one Class A ordinary share.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Class A ordinary share and one-half of one warrant should constitute the shareholder’s initial tax basis in such share or warrant. Any disposition of a unit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should be treated for U.S. federal income tax purposes as a disposition of the Class A ordinary share and one-half of one warrant comprising the unit, and the amount realized on the disposition should be allocated between the Class A ordinary share and one-half of one warrant based on their respective relative fair market values at the time of disposition (as determined by each such unit holder based on all relevant facts and circumstances). Neither the separation of the Class A ordinary share and the one-half of one warrant constituting a unit nor the combination of thirds of warrants into a single warrant should be a taxable event for U.S. federal income tax purposes.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Subject to the PFIC rules described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w:t>
      </w:r>
      <w:r>
        <w:rPr>
          <w:rFonts w:ascii="Times New Roman" w:cs="Times New Roman" w:eastAsia="Times New Roman" w:hAnsi="Times New Roman"/>
          <w:sz w:val="18"/>
          <w:szCs w:val="18"/>
          <w:i w:val="1"/>
          <w:iCs w:val="1"/>
          <w:color w:val="auto"/>
        </w:rPr>
        <w:t>Gain or Loss on Sale, Taxable Exchange or Other Taxable Disposition of Class A Ordinary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below).</w:t>
      </w:r>
    </w:p>
    <w:p>
      <w:pPr>
        <w:spacing w:after="0" w:line="192"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w:t>
      </w:r>
      <w:r>
        <w:rPr>
          <w:rFonts w:ascii="Times New Roman" w:cs="Times New Roman" w:eastAsia="Times New Roman" w:hAnsi="Times New Roman"/>
          <w:sz w:val="17"/>
          <w:szCs w:val="17"/>
          <w:i w:val="1"/>
          <w:iCs w:val="1"/>
          <w:color w:val="auto"/>
        </w:rPr>
        <w:t>Gain or Loss on Sale, Taxable Exchange or Other Taxable Disposition of Class A Ordinary Shares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below) only if our Class A ordinary shares are readily tradable on an established securities market in the United States, the company is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Ordinary Shares and Warrants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one-half of one warrant, as described above under “</w:t>
      </w:r>
      <w:r>
        <w:rPr>
          <w:rFonts w:ascii="Times New Roman" w:cs="Times New Roman" w:eastAsia="Times New Roman" w:hAnsi="Times New Roman"/>
          <w:sz w:val="18"/>
          <w:szCs w:val="18"/>
          <w:i w:val="1"/>
          <w:iCs w:val="1"/>
          <w:color w:val="auto"/>
        </w:rPr>
        <w:t>—Allocation of Purchase Price and Characterization of a Unit</w:t>
      </w:r>
      <w:r>
        <w:rPr>
          <w:rFonts w:ascii="Times New Roman" w:cs="Times New Roman" w:eastAsia="Times New Roman" w:hAnsi="Times New Roman"/>
          <w:sz w:val="18"/>
          <w:szCs w:val="18"/>
          <w:color w:val="auto"/>
        </w:rPr>
        <w:t>”) reduced, in the case of a Class A ordinary share, by any prior distributions treated as a return of capital. Long-term capital gain realized by a non-corporate U.S. Holder is currently eligible to be taxed at reduced rates.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Lapse or Redemption of a Warrant</w:t>
      </w:r>
      <w:r>
        <w:rPr>
          <w:rFonts w:ascii="Times New Roman" w:cs="Times New Roman" w:eastAsia="Times New Roman" w:hAnsi="Times New Roman"/>
          <w:sz w:val="18"/>
          <w:szCs w:val="18"/>
          <w:color w:val="auto"/>
        </w:rPr>
        <w:t>” below for a discussion regarding a U.S. Holder’s tax basis in the Class A ordinary share acquired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exercise of a warrant. The deduction of capital losses is subject to certain limitations.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 of Class A Ordinary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PFIC rules discussed below, in the event that a U.S. Holder’s Class A ordinary shares are redeemed pursuant to the redemption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provisions described in this prospectus under “Description of Securities—Ordinary Shares” or if we purchase a U.S. Holder’s Class A ordinary shares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open market transaction (in either case referred to herein as a “redemption”), the treatment of the redemption for U.S. federal income tax purposes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depend on whether it qualifies as a sale of the Class A ordinary shares under Section 302 of the Code. If the redemption qualifies as a sale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shares, the U.S. Holder will be treated as described under “—Gain or Loss on Sale, Taxable Exchange or Other Taxable Disposition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Ordinary Shares and Warrants” above. If the redemption does not qualify as a sale of Class A ordinary shares, the U.S. Holder will be treated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receiving a corporate distribution with the tax consequences described above under “—Taxation of Distributions.” Whether a redemption qualifies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sale treatment will depend largely on the total number of our shares treated as held by the U.S. Holder (including any shares constructively owned by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Holder described in the following paragraph) relative to all of our shares outstanding both before and after such redemption. The redemption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A ordinary shares generally will be treated as a sale of the Class A ordinary shares (rather than as a corporate distribution) if such redemption (i) 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“substantially disproportionate” with respect to the U.S. Holder, (ii) results in a “complete termination” of the U.S. Holder’s interest in us or (iii) is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essentially equivalent to a dividend” with respect to the U.S. Holder. These tests are explained more fully below.</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minority shareholder in a publicly held corporation who exercises no control over corporate affairs may constitute such a “meaningful reduction.” A U.S. Holder should consult with its tax advisors as to the tax consequences of a redemption.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192"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also possible that a cashless exercise may be treated in part as a taxable exchange in which gain or loss would be recognized. In such event, a U.S. Holder may be deemed to have surrendered a number of warrants having an aggregate value equal to the exercise price for the total number of warrants deemed exercised. Subject to the PFIC rules discussed below, the U.S. Holder would recognize capital gain or loss in an amount equal to the difference between the aggregate value of the warrants deemed surrendered and the U.S. Holder’s tax basis in such warrants. In this case, a U.S. Holder’s tax basis in the Class A ordinary shares received would equal the sum of the U.S. Holder’s initial investment in the warrants deemed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92"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Subject to the PFIC rules described below, if we redeem warrants for cash pursuant to the redemption provisions described in the section of this prospectus entitled “Description of Securities—Warrants—Public Shareholders’ Warrants” or if we purchase warrants in an open market transaction, such redemption or purchase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40"/>
          </w:cols>
          <w:pgMar w:left="320" w:top="455" w:right="5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generally will be treated as a taxable disposition to the U.S. Holder, taxed as described above under “—Gain or Loss on Sale, Taxable Exchange or Other Taxable Disposition of Class A Ordinary Shares and Warrants.” The tax consequences of an exercise of a warrant occurring after our giving notice of an intention to redeem the warrant for $0.01 as described in the section of this prospectus entitled “Description of Securities—Warrants—Public Shareholders’ Warrants,” are unclear under current law. In the case of a cashless exercise, the exercise may be treated either as if we redeemed such warrant for Class A ordinary shares or as an exercise of the warrant. If the cashless exercise of a warrant for Class A ordinary shares is treated as a redemption, then such redemption generally should be treated as a tax-deferred recapitalization for U.S. federal income tax purposes, in which case a U.S. Holder should not recognize any gain or loss on such redemption, and accordingly, a U.S. Holder’s basis in the Class A ordinary shares received should equal the U.S. Holder’s aggregate tax basis in the warrant redeemed and the holding period of the Class A ordinary shares would include the holding period of the warrant. If the cashless exercise of a warrant is treated as such, the tax consequences generally should be similar to those described in the previous paragraphs. In the case of an exercise of a warrant for cash, the tax treatment generally should be as described above in the first paragraph under the heading “U.S. Holders—Exercise, Lapse or Redemption of a Warrant.” Due to the lack of clarity under current law regarding the treatment of an exercise of a warrant after our giving notice of an intention to redeem the warrant,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11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Securities—Warrants—Public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Securities—Warrants—Public Shareholders’ Warrants—Anti-Dilution Adjustments”), including as a result of a distribution of cash or other property to the holders of our Class A ordinary shares which is taxable to the U.S. Holders of such Class A ordinary shares as described under “—Taxation of Distributions” above. Such constructive distribution would be subject to tax as described under that section in the same manner as if the U.S. Holders of the warrants received a cash distribution from us equal to the fair market value of such increased interest. Generally, a U.S. Holder’s adjusted tax basis in its warrant would be increased to the extent any such constructive distribution is treated as a dividend.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Although our PFIC status is determined annually, an initial determination that our company is a PFIC will generally apply for subsequent years to a U.S. Holder who held (or is deemed to have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timely and valid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31" w:lineRule="exact"/>
        <w:rPr>
          <w:sz w:val="20"/>
          <w:szCs w:val="20"/>
          <w:color w:val="auto"/>
        </w:rPr>
      </w:pPr>
    </w:p>
    <w:p>
      <w:pPr>
        <w:ind w:left="1080" w:right="2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 or warrants;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62"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 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such purging election, the U.S. Holder generally will have a new basis and holding period in the Class A ordinary shares acquired upon the exercise of the warrants for purposes of the PFIC rules.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or interest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9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the NYSE (on which we intend to list the Class A ordinary shares),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should consult their tax advisors regarding the availability and tax consequences of a mark-to-market election with respect to our Class A ordinary shares under their particular circumstances.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Tax Reporting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Potential investors are urged to consult their tax advisors regarding the foreign financial asset and other reporting obligations and their application to an investment in our Class A ordinary shares and warrants.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Dividends (including constructive 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 U.S. Holder, as described under “—U.S. Holders—Exercise, Lapse or Redemption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obtain a refund of any excess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amounts withheld under the backup withholding rules by timely filing the appropriate claim for refund with the IRS and furnishing any required information.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40"/>
          </w:cols>
          <w:pgMar w:left="320" w:top="455"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underwriting agreement dated the date of this prospectus, we have agreed to sell to the underwriters named below the follow respective number of units: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55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189"/>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Citigroup Global Markets Inc.</w:t>
            </w: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60" w:type="dxa"/>
            <w:vAlign w:val="bottom"/>
          </w:tcPr>
          <w:p>
            <w:pPr>
              <w:spacing w:after="0"/>
              <w:rPr>
                <w:sz w:val="19"/>
                <w:szCs w:val="19"/>
                <w:color w:val="auto"/>
              </w:rPr>
            </w:pPr>
          </w:p>
        </w:tc>
      </w:tr>
    </w:tbl>
    <w:p>
      <w:pPr>
        <w:spacing w:after="0" w:line="19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public offering price set forth on the cover of this prospectus. Any</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units sold by the underwriters to securities dealers may be sold at a discount from the initial public offering price not to exceed $ per unit. If all of the units are not sold at the initial offering price, the underwriters may change the offering price and the other selling terms. The underwriters have advised us that they do not intend to make sales to discretionary accounts. The offering of the units by the underwriters are subject to receipt and acceptance and subject to the underwriters’ rights to reject any order in whole or in part.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underwriters sell more units than the total number set forth in the table above, we have granted to the underwriters an option, exercisable for 45 days from the date of this prospectus, to purchase up to 1,500,000 additional units at the public offering price less the underwriting discount. The underwriters may exercise this option solely for the purpose of covering over-allotments, if any, in connection with this offering. To the extent the option is exercised, the underwriters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Citigroup Global Markets Inc. offer, sell, contract to sell, pledge or otherwise dispose of, directly or indirectly, any units, warrants, ordinary shares or any other securities convertible into, or exercisable, or exchangeable for, ordinary shares, subject to certain exceptions. Citigroup Global Markets Inc. in its sole discretion may release any of the securities subject to these lock-up agreements at any time without notice, other than in the case of the officers and directors, which shall be with notice. Our sponsor, officers and directors are also subject to separate transfer restrictions on their founder shares and private placement warrants as described in the following paragraph.</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sponsor and our executive officers and directors have agreed not to transfer, assign or sell any of their founder shares until the earlier to occur of (A) one year after the completion of our initial business combination or (B) subsequent to our initial business combination, (x) if the closing price of our Class A ordinary shares equals or exceeds $12.00 per share (as adjusted for share subdivisions, share dividends,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shareholders having the right to exchange their ordinary shares for cash, securities or other property (except with respect to permitted transferees as described herein under the section of this prospectus entitled “</w:t>
      </w:r>
      <w:r>
        <w:rPr>
          <w:rFonts w:ascii="Times New Roman" w:cs="Times New Roman" w:eastAsia="Times New Roman" w:hAnsi="Times New Roman"/>
          <w:sz w:val="18"/>
          <w:szCs w:val="18"/>
          <w:i w:val="1"/>
          <w:iCs w:val="1"/>
          <w:color w:val="auto"/>
        </w:rPr>
        <w:t>Principal Shareholders—Restrictions on Transfers of Founder Shares and Private Placement Warrants</w:t>
      </w:r>
      <w:r>
        <w:rPr>
          <w:rFonts w:ascii="Times New Roman" w:cs="Times New Roman" w:eastAsia="Times New Roman" w:hAnsi="Times New Roman"/>
          <w:sz w:val="18"/>
          <w:szCs w:val="18"/>
          <w:color w:val="auto"/>
        </w:rPr>
        <w:t>”). The private placement warrants (including the Class A ordinary shares issuable upon exercise of the private placement warrants) will not be transferable, assignable or saleable until 30 days after the completion of our initial business combination (except with respect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color w:val="auto"/>
        </w:rPr>
        <w:t>to permitted transferees as described herein under the section of this prospectus entitled “</w:t>
      </w:r>
      <w:r>
        <w:rPr>
          <w:rFonts w:ascii="Times New Roman" w:cs="Times New Roman" w:eastAsia="Times New Roman" w:hAnsi="Times New Roman"/>
          <w:sz w:val="18"/>
          <w:szCs w:val="18"/>
          <w:i w:val="1"/>
          <w:iCs w:val="1"/>
          <w:color w:val="auto"/>
        </w:rPr>
        <w:t>Principal Shareholders—Restrictions on Transfers of 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and Private Placement Warrants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securities. Consequently, the initial public offering price for the units was determined by negotiations between us and the underwriters. Among the factors considered in determining initial public offering price were the history and prospects of companies whose principal business is the acquisition of other companies, prior offerings of those companies, our directors or executive officers, our capital structure, and currently prevailing general conditions in equity securities 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intend to apply to have our units listed on the NYSE under the symbol “ ” We expect that our Class A ordinary shares and warrants will be listed under the symbols “ ” and “ ,” respectively, once the Class A ordinary shares and warrants begin separate trading.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amounts are shown assuming both no exercise and full exercise of the underwriters’ over-allotment option.</w:t>
      </w:r>
    </w:p>
    <w:p>
      <w:pPr>
        <w:spacing w:after="0" w:line="22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Payable by Ares Acquisition</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Corporation</w:t>
      </w:r>
    </w:p>
    <w:tbl>
      <w:tblPr>
        <w:tblLayout w:type="fixed"/>
        <w:tblInd w:w="144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144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 Exercise</w:t>
            </w:r>
          </w:p>
        </w:tc>
        <w:tc>
          <w:tcPr>
            <w:tcW w:w="8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Full Exercise</w:t>
            </w:r>
          </w:p>
        </w:tc>
        <w:tc>
          <w:tcPr>
            <w:tcW w:w="40" w:type="dxa"/>
            <w:vAlign w:val="bottom"/>
          </w:tcPr>
          <w:p>
            <w:pPr>
              <w:spacing w:after="0"/>
              <w:rPr>
                <w:sz w:val="12"/>
                <w:szCs w:val="12"/>
                <w:color w:val="auto"/>
              </w:rPr>
            </w:pPr>
          </w:p>
        </w:tc>
      </w:tr>
      <w:tr>
        <w:trPr>
          <w:trHeight w:val="209"/>
        </w:trPr>
        <w:tc>
          <w:tcPr>
            <w:tcW w:w="60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Per Unit</w:t>
            </w:r>
            <w:r>
              <w:rPr>
                <w:rFonts w:ascii="Times New Roman" w:cs="Times New Roman" w:eastAsia="Times New Roman" w:hAnsi="Times New Roman"/>
                <w:sz w:val="24"/>
                <w:szCs w:val="24"/>
                <w:color w:val="auto"/>
                <w:vertAlign w:val="superscript"/>
              </w:rPr>
              <w:t>(1)</w:t>
            </w: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355"/>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6"/>
                <w:szCs w:val="26"/>
                <w:color w:val="auto"/>
                <w:vertAlign w:val="superscript"/>
              </w:rPr>
              <w:t>(1)</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right="80" w:hanging="424"/>
        <w:spacing w:after="0" w:line="26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$0.35 per unit, or $3,500,000 (or $4,025,000 if the over-allotment option is exercised in full) in the aggregate payable to the underwriters for deferred underwriting commissions to be placed in a trust account located in the United States. The deferred commissions will be released to the underwriters only on completion of an initial business combination, in an amount equal to $0.35 multiplied by the number of Class A ordinary shares sold as part of the units in this offering.</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do not complete our initial business combination and subsequently liquidate the trust account, the trustee and the underwriters have agreed that (i) they will forfeit any rights or claims to their deferred underwriting discounts and commissions, including any accrued interest thereon, then in the trust account upon liquidation, and (ii) that the deferred discounts and commissions will be distributed on a pro rata basis, including interest earned thereon (less taxes payable and up to $100,000 of interest to pay dissolution expenses).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81" w:lineRule="exact"/>
        <w:rPr>
          <w:sz w:val="20"/>
          <w:szCs w:val="20"/>
          <w:color w:val="auto"/>
        </w:rPr>
      </w:pPr>
    </w:p>
    <w:p>
      <w:pPr>
        <w:ind w:left="1080" w:right="5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units than they are required to purchase in the offering.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units in an amount up to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units in an amount in excess of the number of units represented by the underwriters’ over-allotment option.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units either pursuant to the over-allotment option or in the open market after the distribution has been completed to cover short positions.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units in the open market after the distribution has been completed. A naked short position is more likely to be created if the underwriters are concerned that there may be downward pressure on the price of the units in the open market after pricing that could adversely affect investors who purchase in the offering.</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units so long as the stabilizing bids do not exceed a specified maximum.</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640" w:firstLine="440"/>
        <w:spacing w:after="0" w:line="276" w:lineRule="auto"/>
        <w:rPr>
          <w:sz w:val="20"/>
          <w:szCs w:val="20"/>
          <w:color w:val="auto"/>
        </w:rPr>
      </w:pPr>
      <w:r>
        <w:rPr>
          <w:rFonts w:ascii="Times New Roman" w:cs="Times New Roman" w:eastAsia="Times New Roman" w:hAnsi="Times New Roman"/>
          <w:sz w:val="17"/>
          <w:szCs w:val="17"/>
          <w:color w:val="auto"/>
        </w:rPr>
        <w:t>We estimate that our portion of the total expenses of this offering payable by us will be $2,500,000, excluding underwriting discounts and commissions. We have agreed to reimburse the underwriters for all expenses and fees related to the review by the Financial Industry Regulatory</w:t>
      </w:r>
    </w:p>
    <w:p>
      <w:pPr>
        <w:spacing w:after="0" w:line="1" w:lineRule="exact"/>
        <w:rPr>
          <w:sz w:val="20"/>
          <w:szCs w:val="20"/>
          <w:color w:val="auto"/>
        </w:rPr>
      </w:pPr>
    </w:p>
    <w:p>
      <w:pPr>
        <w:ind w:left="120"/>
        <w:spacing w:after="0"/>
        <w:tabs>
          <w:tab w:leader="none" w:pos="4180" w:val="left"/>
        </w:tabs>
        <w:rPr>
          <w:sz w:val="20"/>
          <w:szCs w:val="20"/>
          <w:color w:val="auto"/>
        </w:rPr>
      </w:pPr>
      <w:r>
        <w:rPr>
          <w:rFonts w:ascii="Times New Roman" w:cs="Times New Roman" w:eastAsia="Times New Roman" w:hAnsi="Times New Roman"/>
          <w:sz w:val="18"/>
          <w:szCs w:val="18"/>
          <w:color w:val="auto"/>
        </w:rPr>
        <w:t>Authority (“FINRA”), which will not exceed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not under any contractual obligation to engage the underwriters or one of their respective affiliates to provide any services for us after this offering, but we may do so at our discretion. The underwriting agreement provides that following the completion of this offering, the obligations of the underwriters with respect to this offering will be deemed satisfied and the underwriters are not bound by any commitment or obligation to offer or sell to the public any securities of the company or any business combination transaction counterparty or otherwise solicit holders of securities of the company or any business combination transaction counterparty to approve the business transaction. However, the underwriters or one of their respective affiliates may introduce us to potential target businesses, provide financial advisory services to us in connection with a business combination or assist us in raising additional capital in the future, including by acting as a placement agent in a private offering or underwriting or arranging debt financing. If the underwriters or their respective affiliates provides services to us after this offering, we may pay such underwriter or its affiliate fair and reasonable fees or other compensation that would be determined at that time in an arm’s length negotiation; provided that no agreement will be entered into with the underwriters and their respective affiliates no fees or other compensation for such services will be paid to the underwriters or their respective affiliates prior to the date that is 60 days from the date of this prospectus, unless such payment would not be deemed underwriting compensation in connection with this offering. Any fees we may pay the underwriters or their affiliates for services rendered to us after this offering may be contingent on the completion of a business combination and may include non-cash compensation. The underwriters or their affiliates that provide these services to us may have a potential conflict of interest given that the underwriters are entitled to the deferred portion of their underwriting compensation for this offering only if an initial business combination is completed within the specified time frame.</w:t>
      </w:r>
    </w:p>
    <w:p>
      <w:pPr>
        <w:spacing w:after="0" w:line="19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Neither the underwriters nor their affiliates are under any obligation to provide us services in the future, including with respect to our initial business combination. The underwriters or their affiliates engage in advisory,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underwriting, lending and financing, principal investing, sales and trading, research and investment management activities with a variety of clients and counterparties, corporate, governmental, institutional and individual. Consequently, at the time of our initial business combination the underwriters may advise or provide financing or other services to the target business, the sellers of the target business or other entities competing with us to acquire the target business. In addition, the underwriters or their affiliates may compete with us in trying acquire a target business or have interests in the target business we acquire.</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and their affiliates have engaged in, and may in the future engage in, investment banking and other commercial dealings in the ordinary course of business with us or our affiliates, including as lenders or agents under financings. They have received, or may in the future receive, customary fees and commissions for these transactions.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or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MARKETS ADVISOR</w:t>
      </w:r>
    </w:p>
    <w:p>
      <w:pPr>
        <w:spacing w:after="0" w:line="121"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We will engage Ares Management Capital Markets LLC, an affiliate of our sponsor, to provide consulting and advisory services to us in connection with this offering, for which it will receive an advisory fee equal to % of the aggregate net proceeds of this offering (including the proceeds of the exercise of the overallotment option, if any), excluding underwriting compensation. We will also engage Ares Management Capital Markets LLC as an advisor in connection with our initial business combination for which it will earn an advisory fee of % of the proceeds of this offering (including the proceeds of the exercise of the overallotment option, if any) payable at closing of our initial business combination. Ares Management Capital Markets LLC’s fee will be reimbursed from a portion of the cash fees paid to the underwriters.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Ares Management Capital Markets LLC is engaged to represent our interests only and is not participating in this offering as defined in FINRA Rule 5110(j)(16). Ares Management Capital Markets LLC is acting as an independent financial adviser as defined in FINRA Rule 5110(j)(9). As such, Ares Management Capital Markets LLC is not acting as an underwriter in connection with this offering. Ares Management Capital Markets LLC will not identify or solicit potential investors in this offering or otherwise be involved in the distribution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units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units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40"/>
          </w:cols>
          <w:pgMar w:left="320" w:top="455" w:right="5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CAYMAN ISLANDS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offer or invitation, whether directly or indirectly, may be made to the public in the Cayman Islands to subscribe for our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offer of shares may be made to the public in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 State other than:</w:t>
      </w:r>
    </w:p>
    <w:p>
      <w:pPr>
        <w:spacing w:after="0" w:line="112"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underwriters;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the underwriters and us that it is a “qualified investor” as defined in the Prospectus Regulation.</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HONG KONG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60"/>
          </w:cols>
          <w:pgMar w:left="320" w:top="455" w:right="5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JAPAN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SINGAPORE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(howsoever described) in that trust shall not be transferred within 6 months after that corporation or that trust has acquired the shares pursuant to an offer made under Section 275 of the SFA except:</w:t>
      </w:r>
    </w:p>
    <w:p>
      <w:pPr>
        <w:spacing w:after="0" w:line="93" w:lineRule="exact"/>
        <w:rPr>
          <w:sz w:val="20"/>
          <w:szCs w:val="20"/>
          <w:color w:val="auto"/>
        </w:rPr>
      </w:pPr>
    </w:p>
    <w:p>
      <w:pPr>
        <w:jc w:val="both"/>
        <w:ind w:left="1080" w:right="4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INVESTORS IN THE UNITED KINGDOM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225" w:lineRule="exact"/>
        <w:rPr>
          <w:sz w:val="20"/>
          <w:szCs w:val="20"/>
          <w:color w:val="auto"/>
        </w:rPr>
      </w:pPr>
    </w:p>
    <w:p>
      <w:pPr>
        <w:ind w:left="120" w:right="80" w:firstLine="436"/>
        <w:spacing w:after="0" w:line="261" w:lineRule="auto"/>
        <w:tabs>
          <w:tab w:leader="none" w:pos="80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 Article 19(5) of the Financial Services and Markets Act 2000 (Financial Promotion) Order 2005 or in circumstances in which section 21 of FSMA does not apply to the company; and</w:t>
      </w:r>
    </w:p>
    <w:p>
      <w:pPr>
        <w:spacing w:after="0" w:line="179"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FSMA with respect to anything done by it in relation to the units in, from or otherwise involving the United Kingdom.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GERMANY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is aware that no German sales prospectus (Verkaufsprospekt) within the meaning of the Securities Sales Prospectus Act (Wertpapier-Verkaufsprospektgesetz, the “Act”) of the Federal Republic of Germany has been or will be published with respect to our units. In particular, the underwriters have represented that they have not engaged and has agreed that it will not engage in a public offering (offentliches Angebot) within the meaning of the Act with respect to any of our units otherwise then in accordance with the Act and all other applicable legal and regulatory requirements.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FRANCE</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units are being issued and sold outside the Republic of France and that, in connection with their initial distribution, it has not offered or sold and will not offer or sell, directly or indirectly, any units to the public in the Republic of France, and that it has not distributed and will not distribute or cause to be distributed to the public in the Republic of France this prospectus or any other offering material relating to the units, and that such offers, sales and distributions have been and will be made in the Republic of France only to qualified investors (investisseurs qualifiés) in accordance with Article L.411-2 of the Monetary and Financial Code and decrét no. 98-880 dated October 1, 1998.</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RESIDENTS OF THE NETHERLANDS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units may not be offered, sold, transferred or delivered in or from the Netherlands as part of their initial distribution or at any time thereafter, directly or indirectly, other than to, individuals or legal entities situated in The Netherlands who or which trade or invest in securities in the conduct of a business or profession (which includes banks, securities intermediaries (including dealers and brokers), insurance companies, pension funds, collective investment institution, central governments, large international and supranational organizations, other institutional investors and other parties, including treasury departments of commercial enterprises, which as an ancillary activity regularly invest in securities; hereinafter, “Professional Investors”); provided that in the offer, prospectus and in any other documents or advertisements in which a forthcoming offering of our units is publicly announced (whether electronically or otherwise) in The Netherlands it is stated that such offer is and will be exclusively made to such Professional Investors. Individual or legal entities who are not Professional Investors may not participate in the offering of our units, and this prospectus or any other offering material relating to our units may not be considered an offer or the prospect of an offer to sell or exchange our units.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Kirkland &amp; Ellis LLP, Los Angeles, California will pass upon the validity of the securities offered in this prospectus with respect to units and warrants. Maples and Calder (Cayman) LLP will pass upon the validity of the securities offered in this prospectus with respect to the ordinary shares and matters of Cayman Islands law. In connection with this offering, Ropes &amp; Gray LLP advised the underwriters in connection with the offering of the securities.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Ares Acquisition Corporation II as of December 31, 2022 and for the period from March 15, 2021 (inception) through December 31, 2021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42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180" w:type="dxa"/>
            <w:vAlign w:val="bottom"/>
            <w:gridSpan w:val="4"/>
          </w:tcPr>
          <w:p>
            <w:pPr>
              <w:spacing w:after="0"/>
              <w:rPr>
                <w:sz w:val="16"/>
                <w:szCs w:val="16"/>
                <w:color w:val="auto"/>
              </w:rPr>
            </w:pPr>
          </w:p>
        </w:tc>
        <w:tc>
          <w:tcPr>
            <w:tcW w:w="56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04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2022 and 2021</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0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2022 and for the period from March 15, 2021 (inception) to December 31, 2021</w:t>
            </w:r>
          </w:p>
        </w:tc>
        <w:tc>
          <w:tcPr>
            <w:tcW w:w="340" w:type="dxa"/>
            <w:vAlign w:val="bottom"/>
            <w:gridSpan w:val="3"/>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0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Changes in Shareholder’s Equity for the year ended December 31, 2022 and for the period from March 15, 2021 (inception) to</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2021</w:t>
            </w:r>
          </w:p>
        </w:tc>
        <w:tc>
          <w:tcPr>
            <w:tcW w:w="8800" w:type="dxa"/>
            <w:vAlign w:val="bottom"/>
            <w:gridSpan w:val="7"/>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0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2022 and for the period from March 15, 2021 (inception) to December 31, 2021</w:t>
            </w:r>
          </w:p>
        </w:tc>
        <w:tc>
          <w:tcPr>
            <w:tcW w:w="280" w:type="dxa"/>
            <w:vAlign w:val="bottom"/>
            <w:gridSpan w:val="2"/>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04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80" w:type="dxa"/>
            <w:vAlign w:val="bottom"/>
            <w:gridSpan w:val="4"/>
          </w:tcPr>
          <w:p>
            <w:pPr>
              <w:ind w:left="1160"/>
              <w:spacing w:after="0"/>
              <w:rPr>
                <w:sz w:val="20"/>
                <w:szCs w:val="20"/>
                <w:color w:val="auto"/>
              </w:rPr>
            </w:pPr>
            <w:r>
              <w:rPr>
                <w:rFonts w:ascii="Times New Roman" w:cs="Times New Roman" w:eastAsia="Times New Roman" w:hAnsi="Times New Roman"/>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 and the Board of Directors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Ares Acquisition Corporation II (the “Company”) as of December 31, 2022 and 2021, the related statements of operations, changes in shareholder’s equity and cash flows for the year ended December 31, 2022 and for the period from March 15, 2021 (inception) through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for the period from March 15, 2021 (inception) through December 31, 2021,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22, 2023</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511,395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416,168</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512,595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417,418</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offering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270,391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220,952</w:t>
            </w: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2,104</w:t>
            </w:r>
          </w:p>
        </w:tc>
      </w:tr>
      <w:tr>
        <w:trPr>
          <w:trHeight w:val="216"/>
        </w:trPr>
        <w:tc>
          <w:tcPr>
            <w:tcW w:w="9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Promissory note—related party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233,243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181,859</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503,634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404,915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or outstanding</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Class B ordinary shares, $0.0001 par value; 30,000,000 shares authorized; 2,875,000 shares issued and outstanding</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24,712</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(12,497)</w:t>
            </w:r>
          </w:p>
        </w:tc>
      </w:tr>
      <w:tr>
        <w:trPr>
          <w:trHeight w:val="230"/>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12,503</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512,595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417,418</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40" w:hanging="424"/>
        <w:spacing w:after="0" w:line="26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Class B ordinary shares subject to forfeiture if the over-allotment option is not exercised in full or in part by the underwriters (see Note 6). In February 2023, 22,281,250 Class B ordinary shares were surrendered and cancelled by the Company resulting in a decrease in the total number of Class B ordinary shares outstanding from 25,156,250 shares to 2,875,000 Class B ordinary shares. All share and per share amounts have been retroactively restated to reflect the transaction (see Note 4).</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15, 2021</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6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(3,542)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(3,542)</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(12,497)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6"/>
                <w:szCs w:val="26"/>
                <w:color w:val="auto"/>
                <w:vertAlign w:val="superscript"/>
              </w:rPr>
              <w:t>(1)</w:t>
            </w: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9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(0.00)</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61"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up to 375,000 Class B ordinary shares subject to forfeiture if the over-allotment option is not exercised in full or in part by the underwriters (see Note 6). In February 2023, 22,281,250 Class B ordinary shares were surrendered and cancelled by the Company resulting in a decrease in the total number of Class B ordinary shares outstanding from 25,156,250 shares to 2,875,000 Class B ordinary shares. All share and per share amounts have been retroactively restated to reflect the transaction (see Note 4).</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CHANGES IN SHAREHOLDER’S EQUITY</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2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20" w:type="dxa"/>
            <w:vAlign w:val="bottom"/>
            <w:gridSpan w:val="3"/>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28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18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86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March 15, 2021 (inception)</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shd w:val="clear" w:color="auto" w:fill="CCEEFF"/>
          </w:tcPr>
          <w:p>
            <w:pPr>
              <w:jc w:val="right"/>
              <w:ind w:right="5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Issuance of ordinary shares to Sponsor</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2,875,000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24,712</w:t>
            </w:r>
          </w:p>
        </w:tc>
        <w:tc>
          <w:tcPr>
            <w:tcW w:w="140" w:type="dxa"/>
            <w:vAlign w:val="bottom"/>
          </w:tcPr>
          <w:p>
            <w:pPr>
              <w:spacing w:after="0"/>
              <w:rPr>
                <w:sz w:val="18"/>
                <w:szCs w:val="18"/>
                <w:color w:val="auto"/>
              </w:rPr>
            </w:pPr>
          </w:p>
        </w:tc>
        <w:tc>
          <w:tcPr>
            <w:tcW w:w="118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(12,497)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288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24,712</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(12,497)</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at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2,875,000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288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24,712</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(16,039</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40" w:hanging="424"/>
        <w:spacing w:after="0" w:line="261"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Class B ordinary shares subject to forfeiture if the over-allotment option is not exercised in full or in part by the underwriters (see Note 6). In February 2023, 22,281,250 Class B ordinary shares were surrendered and cancelled by the Company resulting in a decrease in the total number of Class B ordinary shares outstanding from 25,156,250 shares to 2,875,000 Class B ordinary shares. All share and per share amounts have been retroactively restated to reflect the transaction (see Note 4).</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15, 2021</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7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4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(3,542)</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Payment of formation costs through promissory note – related party</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Payment of formation costs through issuance of Class B ordinary shares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12,497</w:t>
            </w:r>
          </w:p>
        </w:tc>
        <w:tc>
          <w:tcPr>
            <w:tcW w:w="0" w:type="dxa"/>
            <w:vAlign w:val="bottom"/>
          </w:tcPr>
          <w:p>
            <w:pPr>
              <w:spacing w:after="0"/>
              <w:rPr>
                <w:sz w:val="1"/>
                <w:szCs w:val="1"/>
                <w:color w:val="auto"/>
              </w:rPr>
            </w:pPr>
          </w:p>
        </w:tc>
      </w:tr>
      <w:tr>
        <w:trPr>
          <w:trHeight w:val="230"/>
        </w:trPr>
        <w:tc>
          <w:tcPr>
            <w:tcW w:w="71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6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4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offering costs included in accrued offering costs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270,391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220,952</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offering costs paid by Sponsor through promissory note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51,384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181,859</w:t>
            </w:r>
          </w:p>
        </w:tc>
        <w:tc>
          <w:tcPr>
            <w:tcW w:w="0" w:type="dxa"/>
            <w:vAlign w:val="bottom"/>
          </w:tcPr>
          <w:p>
            <w:pPr>
              <w:spacing w:after="0"/>
              <w:rPr>
                <w:sz w:val="1"/>
                <w:szCs w:val="1"/>
                <w:color w:val="auto"/>
              </w:rPr>
            </w:pPr>
          </w:p>
        </w:tc>
      </w:tr>
      <w:tr>
        <w:trPr>
          <w:trHeight w:val="198"/>
        </w:trPr>
        <w:tc>
          <w:tcPr>
            <w:tcW w:w="710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Formation and offering costs paid by Sponsor in exchange for issuance of Class B</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ordinary shares</w:t>
            </w: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Ares Acquisition Corporation II (the “Company”) was incorporated in Cayman Islands on March 15, 2021. The Company was formed for the purpose of effecting a merger, share exchange, asset acquisition, share purchase, reorganization or similar business combination with one or more businesses (the “Business Combination”).</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or geographic region for purposes of consummating a Business Combination. The Company is an emerging growth company and, as such, the Company is subject to all of the risks associated with emerging growth companies.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not commenced any operations. All activity for the year ended December 31, 2022 and for the period from March 15, 2021 (inception) through December 31, 2021 relates to the Company’s formation and the proposed initial public offering (the “Proposed Public Offering”), which is described below. The Company will not generate any operating revenues until after the completion of its initial Business Combination, at the earliest. The Company anticipates it will generate non-operating income in the form of interest income from the proceeds derived from the Proposed Public Offering. The Company has selected December 31 as its fiscal year end.</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10,000,000 units (the “Units” and, with respect to the shares Class A ordinary shares included in the Units being offered, the “Public Shares”) at $10.00 per Unit (or 11,500,000 Units if the underwriters’ over-allotment option is exercised in full), which is discussed in Note 3, and the sale of 7,000,000 warrants (the “Private Placement Warrants”) (or 7,300,000 Private Placement Warrants if the underwriters’ over-allotment option is exercised in full) at a price of $1.00 per Private Placement Warrant in a private placement to Ares Acquisition Holdings II LP, a Cayman Island limited partnership (the “Sponsor”), that will close simultaneously with the Proposed Public Offering, which is discussed in Note 4.</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the Sponsor has agreed to lend the Company $1,000,000 (and up to an additional $150,000 if the underwriters’ over-allotment option is exercised in full) as of the closing date of the Proposed Public Offering at no interest, which is discussed in Note 4.</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Placement Warrants, although substantially all of the net proceeds are intended to be applied generally toward consummating a Business Combination. The Company’s initial Business Combination must be with one or more target businesses that together have a fair market value of at least 80% of the assets held in the Trust Account (as defined below) (excluding the deferred underwriting fees and taxes payable on the income earned on the Trust Account) at the time of the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 Upon the closing of the Proposed Public Offering, management has agreed that an amount equal to at least $10.10 per Unit sold in the Proposed Public Offering, including a portion of the proceeds from the sale of the Private Placement Warrants, will be held in a trust account (“Trust Account”), located in the United States and invested in U.S. government securities, within the meaning set forth in Section 2(a)(16) of the Investment Company Act, with a maturity of 185 days or less or in any open-ended investment company that holds itself out as a money market fund selected by the Company meeting the conditions of Rule 2a-7 of the Investment Company Act,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determined by the Company, until the earlier of: (i) the consummation of a Business Combination and (ii) the distribution of the Trust Account, as described below.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shareholders”) with the opportunity to redeem all or a portion of their Class A ordinary shares upon the consummation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convert their Public Shares for a pro rata portion of the amount then in the Trust Account (initially $10.10 per Public Share, plus any pro rata interest earned on the funds held in the Trust Account and not previously released to the Company to pay its tax obligations).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Financial Accounting Standards Board (“FASB”) Accounting Standards Codification (“ASC”) Topic 480, “Distinguishing Liabilities from Equity.”</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will proceed with a Business Combination only if we obtain the approval of an ordinary resolution under Cayman Islands law, which requires the affirmative vote of shareholders holding a majority of ordinary shares who attend and vote at a shareholder meeting.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If the Company seeks shareholder approval in connection with a Business Combination, the Company’s Sponsor, officers and directors (the “initial shareholder”) have agreed (i) to vote their Founder Shares (as defined in Note 4) and any Public Shares acquired in or after the Proposed Public Offering in favor of a Business Combination, and (ii) not to convert any shares owned by them in connection therewith. Additionally, each public shareholder may elect to convert their Public Shares irrespective of whether they vote for or against the proposed transaction.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conversion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converting its shares with respect to more than an aggregate of 15% or more of the Public Shares, without the prior consent of the Company.</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initial shareholders have agreed (i) to waive their redemption rights with respect to their Founder Shares and Public Shares held by them in connection with the completion of a Business Combination and (ii) not to propose an amendment to (a) modify the substance or timing of the Company’s obligation to provide for the redemption of its Public Shares in connection with a Business Combination or to redeem 100% of the Company’s Public Shares if the Company does not complete a Business Combination by the Combination Period (as defined below) or (b) with respect to any other material provisions relating to shareholders’ rights or pre-initial Business Combination activity, unless the Company provides the public shareholders with the opportunity to redeem their Public Shares in conjunction with any such amendment.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will have until 20 months, or such earlier date as the Company’s board of directors may approve, from the closing of the Proposed Public Offering (or up to 24 months from the closing of the Proposed Public Offering if the Company extends the period of time to consummate a business combination) to complete a Business Combination (the “Combination Period”). If the Company is unable to complete a Business Combination within the Combination Period, the Company will as promptly as reasonably possible but not more than ten business days thereafter, redeem the public shares, at a per-share price, payable in cash, equal to the aggregate amount then on deposit in the trust account, including interest earned thereon (less taxes payable and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the Company’s obligations under Cayman Islands law to provide for claims of creditors and to the other requirements of applicable law. There will be no redemption rights or liquidating distributions with respect to the Company’s warrants, which may expire worthless if the Company fails to complete a Business Combination within the Combination Period.</w:t>
      </w:r>
    </w:p>
    <w:p>
      <w:pPr>
        <w:spacing w:after="0" w:line="194"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The initial shareholders have agreed to waive their liquidation rights with respect to the Founder Shares if the Company fails to complete a Business Combination within the Combination Period. However, if the Sponsor, officers and directors acquire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commissions (see Note</w:t>
      </w:r>
    </w:p>
    <w:p>
      <w:pPr>
        <w:spacing w:after="0" w:line="3" w:lineRule="exact"/>
        <w:rPr>
          <w:sz w:val="20"/>
          <w:szCs w:val="20"/>
          <w:color w:val="auto"/>
        </w:rPr>
      </w:pPr>
    </w:p>
    <w:p>
      <w:pPr>
        <w:ind w:left="120" w:hanging="4"/>
        <w:spacing w:after="0" w:line="253" w:lineRule="auto"/>
        <w:tabs>
          <w:tab w:leader="none" w:pos="3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amounts in the Trust Account to below (i) $10.10 per Public Share or (ii) such lesser amount per Public Share held in the Trust Account as of the date of the liquidation of the Trust Account due to reductions in the value of the trust assets, in each case net of the interest which may be withdrawn to pay taxes. This liability will not apply with respect to any claims by a third party who executed a waiver of any and all rights to seek access to the Trust Account and except as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material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increases in inflation and interest rates, the COVID-19 pandemic and the conflict in Ukraine and the surrounding region, and has concluded that while it is reasonably possible that the risks and uncertainties related to or resulting from these events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these risks and uncertainties.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right="7420" w:hanging="4"/>
        <w:spacing w:after="0" w:line="378" w:lineRule="auto"/>
        <w:tabs>
          <w:tab w:leader="none" w:pos="30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Basis of Presentation</w:t>
      </w: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Measurements and Disclosures,” approximates the carrying amounts represented in the balance sheet, primarily due to their short-term nature.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evaluates its equity-linked financial instruments to determine if such instruments are derivatives or contain features that qualify as embedded derivatives in accordance with ASC 815, “Derivatives and Hedging.” For derivative financial instruments that are classified as liabilities, the derivative instrument is initially recognized at fair value with subsequent changes in fair value recognized in the statements of operations each reporting period. The classification of derivative instruments, including whether such instruments should be classified as liabilities or as equity, is evaluated at the end of each reporting period.</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will account for the warrants to be issued in the Proposed Public Offering and the Private Placement Warrants in accordance with the guidance contained in ASC 815. Such guidance provides that the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shareholder’s equity upon the completion of the Proposed Public Offering. Should the Proposed Public Offering prove to be unsuccessful, these deferred costs, as well as additional expenses to be incurred, will be charged to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has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is currently no taxation imposed on income by the Government of the Cayman Islands. In accordance with Cayman income tax regulations, income taxes are not levied on the Company. Consequently, income taxes are not reflected in the Company’s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ordinary shares outstanding during the period, excluding ordinary shares subject to forfeiture. Weighted average shares at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December 31, 2022 and 2021, were reduced for the effect of an aggregate of 375,000 Class B ordinary shares that are subject to forfeiture if the over-allotment option is not exercised, in full or in part, by the underwriters (see Note 6). At December 31, 2022 and 2021, the Company did not have any dilutive securities and other contracts that could, potentially, be exercised or converted into ordinary shares and then share in the earnings of the Company. As a result, diluted loss per share is the same as basic loss per share for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266" w:lineRule="exact"/>
        <w:rPr>
          <w:sz w:val="20"/>
          <w:szCs w:val="20"/>
          <w:color w:val="auto"/>
        </w:rPr>
      </w:pPr>
    </w:p>
    <w:p>
      <w:pPr>
        <w:ind w:left="120" w:right="8120" w:hanging="4"/>
        <w:spacing w:after="0" w:line="377" w:lineRule="auto"/>
        <w:tabs>
          <w:tab w:leader="none" w:pos="30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PUBLIC OFFERING Public Units</w:t>
      </w:r>
    </w:p>
    <w:p>
      <w:pPr>
        <w:spacing w:after="0" w:line="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10,000,000 Units (or 11,500,000 Units if the underwriters’ over-allotment option is exercised in full) at a purchase price of $10.00 per Unit. Each Unit consists of one Class A ordinary share and one-half of one redeemable warrant (“Public Warrant”). Each whole Public Warrant entitles the holder to purchase one Class A ordinary share at a price of $11.50 per share, subject to adjustment (see Note 6).</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shares will be issued upon exercise of the Public Warrants. The Public Warrants will become exercisable on the later of (i) 30 days after the completion of a Business Combination or (ii) 12 months from the closing of the Proposed Public Offering. The Public Warrants will expire five years after the completion of a Business Combination or earlier upon redemption or liquidation.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Class A ordinary shares upon exercise of a warrant unless the Class A ordinary shares issuable upon such warrant exercise has been registered, qualified or deemed to be exempt under the securities laws of the state of residence of the registered holder of the warrants.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will use its commercially reasonable efforts to cause the registration statement to become effective within 60 business days after the closing of its initial business combination, and to maintain the effectiveness of such registration statement and a current prospectus relating to those Class A ordinary shares until the warrants expire or are redeemed, as specified in the warrant agreement provided that if its Class A ordinary shares are at the time of any exercise of a warrant not listed on a national securities exchange such that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commercially reasonable efforts to register or qualify the shares under applicable blue sky laws to the extent an exemption is not available.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131"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given after the warrants become exercisable to each warrant holder;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ordinary shares equals or exceeds $18.00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if (i)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its affiliates, prior to such issuance) (the “Newly Issued Price”), (ii) the aggregate gross proceeds from such issuances represent more than 60% of the total equity proceeds, and interest thereon, available for the funding of a Business Combination on the date of the consummation of a Business Combination (net of redemptions), and (iii)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9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Private Placement Warrants (Note 4) will be identical to the Public Warrants underlying the Units being sold in the Proposed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warrants may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adjusted in certain circumstances including in the event of a share dividend, or recapitalization, reorganization, merger or consolidation. However, the warrants will not be adjusted for issuance of ordinary shares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right="7840" w:hanging="4"/>
        <w:spacing w:after="0" w:line="378" w:lineRule="auto"/>
        <w:tabs>
          <w:tab w:leader="none" w:pos="30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Founder Shares</w:t>
      </w: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March 19, 2021, the Sponsor paid $25,000 to cover certain offering and formation costs of the Company in consideration of the Company’s Class B ordinary shares (the “Founder Shares”). In February 2023, 22,281,250 Founder Shares were surrendered and cancelled by the Company resulting in a decrease in the total number of Founder Shares outstanding from 25,156,250 shares to 2,875,000 Founder Shares as of the date the financial statements were available to be issued, which would represent 20% of the outstanding shares upon completion of the offering. All share and per share amounts have been retroactively restated to reflect the transaction. The Sponsor has agreed to forfeit up to 375,000 Founder Shares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 If the Company increases or decreases the size of the offering, the Company will effect a share capitalization or a share redemption or other appropriate mechanism, as applicable, immediately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 The Founder Shares will automatically convert into Class A ordinary shares upon consummation of a Business Combination on a one-for-one basis, subject to certain adjustments, as described in Note 6.</w:t>
      </w:r>
    </w:p>
    <w:p>
      <w:pPr>
        <w:spacing w:after="0" w:line="190"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initial shareholders have agreed not to transfer, assign or sell any of the Founder Shares (except to certain permitted transferees) until the earlier of (i) one year after the date of the consummation of a Business Combination, or (ii) subsequent to the consummation of a Business Combination,</w:t>
      </w:r>
    </w:p>
    <w:p>
      <w:pPr>
        <w:spacing w:after="0" w:line="1" w:lineRule="exact"/>
        <w:rPr>
          <w:sz w:val="20"/>
          <w:szCs w:val="20"/>
          <w:color w:val="auto"/>
        </w:rPr>
      </w:pPr>
    </w:p>
    <w:p>
      <w:pPr>
        <w:ind w:left="120" w:right="100" w:hanging="4"/>
        <w:spacing w:after="0" w:line="253" w:lineRule="auto"/>
        <w:tabs>
          <w:tab w:leader="none" w:pos="36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last reported sale price of the Company’s Class A ordinary shares equals or exceeds $12.00 per share (as adjusted for share subdivisions, share capitalizations, reorganizations, recapitalizations and the like) for any 20 trading days within any 30-trading day period commencing at least 150 days after the Business Combination, or (b) subsequent to a Business Combination, the date on which the Company completes a liquidation, merger, share exchange or other similar transaction which results in all of the Company’s shareholders having the right to exchange their ordinary shares for cash, securities or other property.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19, 2021, the Company issued a promissory note to the Sponsor, pursuant to which the Sponsor agreed to loan the Company up to an aggregate of $300,000 to be used for the payment of costs related to the Proposed Public Offering (the “Promissory Note”). The Promissory Note is non-interest bearing, unsecured and due on the earlier of December 31, 2021 or the completion of the Proposed Public Offering. In February 2023, the Company amended the Promissory Note with effect as of December 31, 2021 to increase the principal up to an aggregate of $400,000, and extend the maturity date to the earlier of December 31, 2023 or the completion of the Proposed Public Offering. As of December 31, 2022 and 2021, the Company had $233,243 and $181,859, respectively, outstanding under the Promissory Note.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Sponsor has agreed to purchase an aggregate of 7,000,000 Private Placement Warrants (or 7,300,000 Private Placement Warrants if the underwriters’ over-allotment option is exercised in full) at a price of $1.00 per Private Placement Warrant, for an aggregate purchase price of $7,000,000 (or $7,300,000 if the underwriters’ over-allotment option is exercised in full), in a private placement that will occur simultaneously with the closing of the Proposed Public Offering. Each Private Placement Warrant is exercisable to purchase one Class A ordinary share at a price of $11.50 per share. A portion of the proceeds from the Private Placement Warrants will be added to the proceeds from the Proposed Public Offering to be held in the Trust Account. If the Company does not complete a Business Combination within the Combination Period, the proceeds of the sale of the Private Placement Warrants will be used to fund the redemption of the Public Shares (subject to the requirements of applicable law), and the Private Placement Warrants may expire worthless.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Overfunding Loans</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Sponsor has agreed to lend the Company $1,000,000 (and up to an additional $150,000 if the underwriters’ over-allotment option is exercised in full) as of the closing date of the Proposed Public Offering at no interest, (the “Overfunding Loans”). The Overfunding Loans will be repaid upon the closing of the initial Business Combination or converted into warrants of the post-business combination entity at a price of $1.00 per warrant (or any combination thereof), at the Sponsor’s discretion, which warrants will be identical to the Private Placement Warrants. The Overfunding Loans are being extended in order to ensure that the amount in the Trust Account (as defined below) is $10.10 per public share. If the Company does not complete an initial Business Combination, the Company will not repay the Overfunding Loans from amounts held in the Trust Account, and its proceeds will be distributed to the public shareholders; however, the Company may repay the Overfunding Loans if there are funds available outside the Trust Account.</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Working Capital Loans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$1.00 per warrant. The warrants would be identical to the Private Placement Warrants. At December 31, 2022 and 2021, no Working Capital Loans were outstanding.</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agreed, commencing on the date of the prospectus, to pay an affiliate of the sponsor, a monthly fee of $16,667 for office space, utilities and secretarial and administrative support. This arrangement will terminate upon completion of a Business Combination or the distribution of the trust account to the public shareholders.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our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our sponsor, officers or directors, or the Company’s or their affiliates. Any such payments prior to an initial Business Combination will be made from funds held outside the Trust Account.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Extension Loans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Company needs to extend the time available for it to consummate an initial Business Combination, the Company may deposit into the Trust Account an amount of cash on or prior to the date of the applicable deadline for each of the available two-month extensions. If the Company does not have sufficient funds to make such deposits into the Trust Account, the Sponsor, or an affiliate or designee (the “Contributor”) will contribute to the Company, as a loan upon five days’ advance notice prior the end of each applicable deadline, the deposit for each two-month period (the “Extension Loans”). If the Company completes its initial Business Combination, the Company will, at the option of the Contributor, repay such loaned amounts out of the proceeds of the Trust Account released to the Company or convert a portion or all of the total extension loan amount into warrants of the post-Business Combination entity at a price of $1.00 per warrant, which warrants will be identical to the Private Placement Warrants. If the Company does not complete a Business Combination, the Company will repay such Contributions only from funds held outside of the Trust Account. Any such Extension Loans would be in addition to the Overfunding Loans and any Working Capital Loans made to the Company. The Sponsor and its affiliates or designees are not obligated to fund the Trust Account to extend the time for the Company to complete its initial Business Combination.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Advisory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will engage Ares Management Capital Markets LLC, an affiliate of the Company’s Sponsor, to provide consulting and advisory services to the Company in connection with the Proposed Public Offering, for which it will receive: (i) an advisory fee payable upon the closing of the Proposed Public Offering, and (ii) a deferred advisory fee payable solely in the event that the Company completes the initial Business Combination. The underwriters have agreed to reimburse a portion of their fees to cover for the fees payable to Ares Management Capital Markets LLC.</w:t>
      </w:r>
    </w:p>
    <w:p>
      <w:pPr>
        <w:spacing w:after="0" w:line="284" w:lineRule="exact"/>
        <w:rPr>
          <w:sz w:val="20"/>
          <w:szCs w:val="20"/>
          <w:color w:val="auto"/>
        </w:rPr>
      </w:pPr>
    </w:p>
    <w:p>
      <w:pPr>
        <w:ind w:left="120" w:right="7360" w:hanging="4"/>
        <w:spacing w:after="0" w:line="378" w:lineRule="auto"/>
        <w:tabs>
          <w:tab w:leader="none" w:pos="3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Registration Rights</w:t>
      </w: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the Founder Shares, Private Placement Warrants (and the Class A ordinary shares underlying such Private Placement Warrants) and Private Placement Warrants that may be issued upon conversion of Working Capital Loans, the Overfunding Loans and Extension Loans will have registration rights to require the Company to register a sale of any of its securities held by them pursuant to a registration rights agreement to be signed prior to or on the effective date of Proposed Public Offering. The holders of these securities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subject to certain limitations. The Company will bear the expenses incurred in connection with the filing of any such registration statements.</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Underwriting Agreement and Advisory Agreement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Proposed Public Offering to purchase up to 1,500,000 additional Units to cover over-allotments, if any, at the Proposed Public Offering price less the underwriting discounts and commissions.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$2,000,000 in the aggregate (or $2,300,000 in the aggregate if the underwriters’ option to purchase additional Units is exercised in full), payable upon the closing of the Proposed Public Offering. In addition, the underwriters will be entitled to a deferred fee of $0.35 per Unit, or $3,500,000 in the aggregate (or $4,025,000 in the aggregate if the underwriters’ option to purchase additional Units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will also engage Ares Management Capital Markets LLC, an affiliate of the Company’s Sponsor, to provide consulting and advisory services to the Company in connection with the Proposed Public Offering, for which it will receive: (i) an advisory fee payable upon the closing of the Proposed Public Offering, and (ii) a deferred advisory fee payable solely in the event that the Company completes the initial Business Combination. The underwriters have agreed to reimburse a portion of their fees to cover for the fees payable to Ares Management Capital Markets LLC.</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ind w:left="120" w:right="3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1,000,000 preference shares with a par value of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 rights and preferences as may be determined from time to time by the Company’s Board of Directors. At December 31, 2022 and 2021, there were no preference shares issued or outstanding.</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300,000,000 Class A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Class A ordinary shares are entitled to one vote for each share. At December 31, 2022 and 2021, there were no Class A ordinary shares issued or outstanding.</w:t>
      </w:r>
    </w:p>
    <w:p>
      <w:pPr>
        <w:spacing w:after="0" w:line="171" w:lineRule="exact"/>
        <w:rPr>
          <w:sz w:val="20"/>
          <w:szCs w:val="20"/>
          <w:color w:val="auto"/>
        </w:rPr>
      </w:pPr>
    </w:p>
    <w:p>
      <w:pPr>
        <w:ind w:left="120" w:right="3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30,000,000 Class B ordinary shares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the Company’s Class B ordinary shares are entitled to one vote for each ordinary share. At December 31, 2022 and 2021, there were 2,875,000 Class B ordinary shares issued and outstanding, of which 375,000 shares are subject to forfeiture to the extent that the underwriters’ over-allotment option is not exercised in full so that the Founder Shares will represent, on an as-converted basis, 20% of the Company’s issued and outstanding shares after the Proposed Public Offering (assuming the initial shareholders do not purchase any Public Shares in the Proposed Public Offering). As described in Note 4, these amounts have been retroactively restated to reflect the share surrender in February 2023.</w:t>
      </w:r>
    </w:p>
    <w:p>
      <w:pPr>
        <w:spacing w:after="0" w:line="18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will vote together as a single class on all other matters submitted to a vote of shareholders except as required by law.</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 Business Combination on a one-for-one basis, subject to adjustment. In the case that additional Class A ordinary shares or equity-linked securities are issued or deemed issued in excess of the amounts offered in the Proposed Public Offering and related to the closing of a Business Combination, the ratio at which Class B ordinary shares shall convert into Class A ordinary shares will be adjusted (unless the holders of a majority of the outstanding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Class B ordinary shares agree to waive such adjustment with respect to any such issuance or deemed issuance) so that the number of Class A ordinary shares issuable upon conversion of all Class B ordinary shares will equal, in the aggregate, on an as-converted basis, 20% of the sum of the total number of all ordinary shares outstanding upon completion of the Proposed Public offering plus all Class A ordinary shares and equity-linked securities issued or deemed issued in connection with a Business Combination (excluding any shares or equity-linked securities issued, or to be issued, to any seller in a Business Combination and any private placement-equivalent warrants issued to the Sponsor or its affiliates upon conversion of loans made to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SUBSEQUENT EVENTS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date the financial statements were issued require potential adjustment to or disclosure in the financial statements. Other than as described below, the Company concluded that there have been no events that have occurred that would require adjustments to the financial statements.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described in Note 4, 22,281,250 Founder Shares were surrendered and cancelled by the Company in February 2023, resulting in a decrease in the total number of Founder Shares outstanding from 25,156,250 shares to 2,875,000 Founder Shares. All share and per share amounts have been retroactively restated to reflect the transaction.</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February 2023, the Company amended the Promissory Note with effect as of December 31, 2021 to increase the principal up to an aggregate of $400,000, and extend the maturity date to the earlier of December 31, 2023 or the completion of the Proposed Public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10,000,000 Units</w:t>
      </w: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Ares Acquisition Corporation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1356360</wp:posOffset>
            </wp:positionV>
            <wp:extent cx="1474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Citigroup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0"/>
        <w:spacing w:after="0"/>
        <w:tabs>
          <w:tab w:leader="none" w:pos="1680" w:val="left"/>
        </w:tabs>
        <w:rPr>
          <w:sz w:val="20"/>
          <w:szCs w:val="20"/>
          <w:color w:val="auto"/>
        </w:rPr>
      </w:pPr>
      <w:r>
        <w:rPr>
          <w:rFonts w:ascii="Times New Roman" w:cs="Times New Roman" w:eastAsia="Times New Roman" w:hAnsi="Times New Roman"/>
          <w:sz w:val="18"/>
          <w:szCs w:val="18"/>
          <w:color w:val="auto"/>
        </w:rPr>
        <w:t>Until</w:t>
      </w:r>
      <w:r>
        <w:rPr>
          <w:sz w:val="20"/>
          <w:szCs w:val="20"/>
          <w:color w:val="auto"/>
        </w:rPr>
        <w:tab/>
      </w:r>
      <w:r>
        <w:rPr>
          <w:rFonts w:ascii="Times New Roman" w:cs="Times New Roman" w:eastAsia="Times New Roman" w:hAnsi="Times New Roman"/>
          <w:sz w:val="18"/>
          <w:szCs w:val="18"/>
          <w:color w:val="auto"/>
        </w:rPr>
        <w:t>, 2023 (25 days after the date of this prospectus), all dealers that buy, sell or trade our Class A ordinary shares, whether or not</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847090</wp:posOffset>
            </wp:positionV>
            <wp:extent cx="1474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13. Other Expenses of Issuance and Distribution.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12,673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FINRA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17,750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NYSE listing and filing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1,909,577</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14. Indemnification of Directors and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15. Recent Sales of Unregistered Securities.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March 19, 2021, our sponsor paid $25,000 to cover certain of our offering costs in consideration of 25,156,250 Class B ordinary shares, par value $0.0001. On February 8, 2023, 22,281,250 Class B ordinary shares were surrendered and thereupon cancelled by the Company resulting in a decrease in the total number of Class B ordinary shares outstanding from 25,156,250 shares to 2,875,000 shares. Up to 375,000 founder shares are subject to forfeiture depending on the extent to which the underwriters’ over-allotment option is exercised. Such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securities were issued in connection with our organization pursuant to the exemption from registration contained in Section 4(a)(2) of the Securities Act. If we increase or decrease the size of this offering, we will effect a share capitalization or a share contribution back to capital or other appropriate mechanism, as applicable, with respect to our Class B ordinary shares prior to the consummation of this offering in such amount as to maintain the number of founder shares at 20% of the total number of Class A ordinary shares and Class B ordinary shares outstanding at such time.</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sponsor has agreed to purchase an aggregate of 7,000,000 private placement warrants (or 7,300,000 private placement warrants if the underwriters’ over-allotment option is exercised in full), each exercisable to purchase one Class A ordinary share at $11.50 per share, at a price of $1.00 per warrant ($7,000,000 in the aggregate or $7,300,000 if the underwriters’ over-allotment option is exercised in full), in a private placement that will close simultaneously with the closing of this offering. These issuances will be made pursuant to the exemption from registration contained in Section 4(a)(2) of the Securities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16. 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is incorporated herein by reference.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Item 17. Undertakings.</w:t>
      </w:r>
    </w:p>
    <w:p>
      <w:pPr>
        <w:spacing w:after="0" w:line="135" w:lineRule="exact"/>
        <w:rPr>
          <w:sz w:val="20"/>
          <w:szCs w:val="20"/>
          <w:color w:val="auto"/>
        </w:rPr>
      </w:pPr>
    </w:p>
    <w:p>
      <w:pPr>
        <w:ind w:left="1080" w:right="520" w:hanging="532"/>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81" w:lineRule="exact"/>
        <w:rPr>
          <w:rFonts w:ascii="Times New Roman" w:cs="Times New Roman" w:eastAsia="Times New Roman" w:hAnsi="Times New Roman"/>
          <w:sz w:val="18"/>
          <w:szCs w:val="18"/>
          <w:color w:val="auto"/>
        </w:rPr>
      </w:pPr>
    </w:p>
    <w:p>
      <w:pPr>
        <w:ind w:left="1080" w:hanging="532"/>
        <w:spacing w:after="0" w:line="254"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540" w:right="40" w:hanging="439"/>
        <w:spacing w:after="0" w:line="261"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540" w:right="460" w:hanging="439"/>
        <w:spacing w:after="0" w:line="266" w:lineRule="auto"/>
        <w:tabs>
          <w:tab w:leader="none" w:pos="15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1004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2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60" w:type="dxa"/>
            <w:vAlign w:val="bottom"/>
          </w:tcPr>
          <w:p>
            <w:pPr>
              <w:spacing w:after="0"/>
              <w:rPr>
                <w:sz w:val="24"/>
                <w:szCs w:val="24"/>
                <w:color w:val="auto"/>
              </w:rPr>
            </w:pPr>
          </w:p>
        </w:tc>
      </w:tr>
      <w:tr>
        <w:trPr>
          <w:trHeight w:val="318"/>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Specimen Class A Ordinary Share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4.3*</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Specimen Warrant Certificate.</w:t>
            </w:r>
          </w:p>
        </w:tc>
      </w:tr>
      <w:tr>
        <w:trPr>
          <w:trHeight w:val="324"/>
        </w:trPr>
        <w:tc>
          <w:tcPr>
            <w:tcW w:w="7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Warrant Agreement between Continental Stock Transfer &amp; Trust Company and the Registrant.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Opinion of Kirkland &amp; Ellis LLP.</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Opinion of Maples and Calder (Cayman) LLP, Cayman Islands Legal Counsel to the Registrant.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Registrant.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10.2**</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9"/>
              </w:rPr>
              <w:t>Form of Registration and Shareholder Rights Agreement among the Registrant, the Sponsor and the Holders signatory thereto.</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10.3**</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Private Placement Warrants Purchase Agreement between the Registrant and the Sponsor.</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10.4**</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10.5**</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Administrative Services Agreement between the Registrant and the Sponsor.</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10.6**</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Amended and Restated Promissory Note, dated as of February 8, 2023, between the Registrant and the Sponsor.</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10.7**</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Securities Subscription Agreement, dated March 19, 2021, between the Registrant and the Sponsor.</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10.8**</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Form of Letter Agreement between the Registrant and the Sponsor and each director and executive officer of the Registrant.</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23.1**</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Consent of WithumSmith+Brown, PC.</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23.2**</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Consent of Kirkland &amp; Ellis LLP (included on Exhibit 5.1).</w:t>
            </w:r>
          </w:p>
        </w:tc>
      </w:tr>
      <w:tr>
        <w:trPr>
          <w:trHeight w:val="324"/>
        </w:trPr>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6"/>
              </w:rPr>
              <w:t>23.3**</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Consent of Maples and Calder (Cayman) LLP (included on Exhibit 5.2).</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pacing w:after="0" w:line="225"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880"/>
          </w:cols>
          <w:pgMar w:left="320" w:top="455" w:right="6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w:t>
      </w:r>
    </w:p>
    <w:p>
      <w:pPr>
        <w:spacing w:after="0" w:line="27" w:lineRule="exact"/>
        <w:rPr>
          <w:sz w:val="20"/>
          <w:szCs w:val="20"/>
          <w:color w:val="auto"/>
        </w:rPr>
      </w:pPr>
    </w:p>
    <w:p>
      <w:pPr>
        <w:ind w:left="120"/>
        <w:spacing w:after="0"/>
        <w:tabs>
          <w:tab w:leader="none" w:pos="8440" w:val="left"/>
          <w:tab w:leader="none" w:pos="9620" w:val="left"/>
        </w:tabs>
        <w:rPr>
          <w:sz w:val="20"/>
          <w:szCs w:val="20"/>
          <w:color w:val="auto"/>
        </w:rPr>
      </w:pPr>
      <w:r>
        <w:rPr>
          <w:rFonts w:ascii="Times New Roman" w:cs="Times New Roman" w:eastAsia="Times New Roman" w:hAnsi="Times New Roman"/>
          <w:sz w:val="18"/>
          <w:szCs w:val="18"/>
          <w:color w:val="auto"/>
        </w:rPr>
        <w:t>its behalf by the undersigned, thereunto duly authorized, in the city of New York, State of New York, on the</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 2023.</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David B. Kaplan</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David B. Kaplan and Jarrod Phillips,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1546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David B.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8"/>
          <w:szCs w:val="18"/>
          <w:color w:val="auto"/>
        </w:rPr>
        <w:t>Jarrod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1546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7"/>
          <w:szCs w:val="17"/>
          <w:color w:val="auto"/>
        </w:rPr>
        <w:t>Michael J Arougheti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31546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8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 2023</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Co-Chairman (principal executive</w:t>
            </w:r>
          </w:p>
        </w:tc>
        <w:tc>
          <w:tcPr>
            <w:tcW w:w="1880" w:type="dxa"/>
            <w:vAlign w:val="bottom"/>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1880" w:type="dxa"/>
            <w:vAlign w:val="bottom"/>
          </w:tcPr>
          <w:p>
            <w:pPr>
              <w:spacing w:after="0"/>
              <w:rPr>
                <w:sz w:val="20"/>
                <w:szCs w:val="20"/>
                <w:color w:val="auto"/>
              </w:rPr>
            </w:pPr>
          </w:p>
        </w:tc>
      </w:tr>
      <w:tr>
        <w:trPr>
          <w:trHeight w:val="42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18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 2023</w:t>
            </w: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880" w:type="dxa"/>
            <w:vAlign w:val="bottom"/>
          </w:tcPr>
          <w:p>
            <w:pPr>
              <w:spacing w:after="0"/>
              <w:rPr>
                <w:sz w:val="20"/>
                <w:szCs w:val="20"/>
                <w:color w:val="auto"/>
              </w:rPr>
            </w:pPr>
          </w:p>
        </w:tc>
      </w:tr>
      <w:tr>
        <w:trPr>
          <w:trHeight w:val="45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Co-Chairman</w:t>
            </w:r>
          </w:p>
        </w:tc>
        <w:tc>
          <w:tcPr>
            <w:tcW w:w="18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 2023</w:t>
            </w:r>
          </w:p>
        </w:tc>
      </w:tr>
    </w:tbl>
    <w:p>
      <w:pPr>
        <w:sectPr>
          <w:pgSz w:w="11900" w:h="16838" w:orient="portrait"/>
          <w:cols w:equalWidth="0" w:num="2">
            <w:col w:w="4480" w:space="720"/>
            <w:col w:w="5940"/>
          </w:cols>
          <w:pgMar w:left="320" w:top="455" w:right="439" w:bottom="1440" w:gutter="0" w:footer="0" w:header="0"/>
          <w:type w:val="continuous"/>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 EXPIRATION OF THE EXERCISE PERIOD PROVIDED FOR IN THE WARRANT AGREEMENT DESCRIBED BELOW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CUSIP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440"/>
        <w:spacing w:after="0"/>
        <w:tabs>
          <w:tab w:leader="none" w:pos="4100" w:val="left"/>
        </w:tabs>
        <w:rPr>
          <w:sz w:val="20"/>
          <w:szCs w:val="20"/>
          <w:color w:val="auto"/>
        </w:rPr>
      </w:pPr>
      <w:r>
        <w:rPr>
          <w:rFonts w:ascii="Times New Roman" w:cs="Times New Roman" w:eastAsia="Times New Roman" w:hAnsi="Times New Roman"/>
          <w:sz w:val="18"/>
          <w:szCs w:val="18"/>
          <w:b w:val="1"/>
          <w:bCs w:val="1"/>
          <w:color w:val="auto"/>
        </w:rPr>
        <w:t>This Warrant Certificate certifies that</w:t>
      </w:r>
      <w:r>
        <w:rPr>
          <w:sz w:val="20"/>
          <w:szCs w:val="20"/>
          <w:color w:val="auto"/>
        </w:rPr>
        <w:tab/>
      </w:r>
      <w:r>
        <w:rPr>
          <w:rFonts w:ascii="Times New Roman" w:cs="Times New Roman" w:eastAsia="Times New Roman" w:hAnsi="Times New Roman"/>
          <w:sz w:val="17"/>
          <w:szCs w:val="17"/>
          <w:color w:val="auto"/>
        </w:rPr>
        <w:t xml:space="preserve">, or registered assigns, is the registered holder of warrants evidenced hereby (the </w:t>
      </w:r>
      <w:r>
        <w:rPr>
          <w:rFonts w:ascii="Times New Roman" w:cs="Times New Roman" w:eastAsia="Times New Roman" w:hAnsi="Times New Roman"/>
          <w:sz w:val="17"/>
          <w:szCs w:val="17"/>
          <w:b w:val="1"/>
          <w:bCs w:val="1"/>
          <w:color w:val="auto"/>
        </w:rPr>
        <w:t>“Warrants”</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and each, a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xml:space="preserve">) to purchase Class A Ordinary Shares, $0.0001 par value per share (the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of Ares Acquisition Corporation II, a Cayman Islands exempted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7"/>
          <w:szCs w:val="17"/>
          <w:b w:val="1"/>
          <w:bCs w:val="1"/>
          <w:color w:val="auto"/>
        </w:rPr>
        <w:t>Warrant Price</w:t>
      </w:r>
      <w:r>
        <w:rPr>
          <w:rFonts w:ascii="Times New Roman" w:cs="Times New Roman" w:eastAsia="Times New Roman" w:hAnsi="Times New Roman"/>
          <w:sz w:val="17"/>
          <w:szCs w:val="17"/>
          <w:color w:val="auto"/>
        </w:rPr>
        <w:t>”) as determined pursuant to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ectPr>
          <w:pgSz w:w="11900" w:h="16838" w:orient="portrait"/>
          <w:cols w:equalWidth="0" w:num="1">
            <w:col w:w="11020"/>
          </w:cols>
          <w:pgMar w:left="440" w:top="117" w:right="439" w:bottom="1440" w:gutter="0" w:footer="0" w:header="0"/>
        </w:sectPr>
      </w:pPr>
    </w:p>
    <w:bookmarkStart w:id="217" w:name="page218"/>
    <w:bookmarkEnd w:id="21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conditions set forth in the Warrant Agreement, the Warrants may be exercised only during the Exercise Period and to the extent not exercised by the end of such Exercise Period, such Warrants shall become void.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17145</wp:posOffset>
            </wp:positionV>
            <wp:extent cx="23145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00"/>
          </w:cols>
          <w:pgMar w:left="440" w:top="270" w:right="559" w:bottom="1440" w:gutter="0" w:footer="0" w:header="0"/>
        </w:sectPr>
      </w:pPr>
    </w:p>
    <w:bookmarkStart w:id="218" w:name="page219"/>
    <w:bookmarkEnd w:id="218"/>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Warrant Certificate</w:t>
      </w:r>
    </w:p>
    <w:p>
      <w:pPr>
        <w:spacing w:after="0" w:line="22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Ordinary Shares and are issued or to be issued pursuant to a Warrant Agreement dated as of , 2023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Warrant Agreement is hereby incorporated by reference in and made a part of this instrument and is hereby referred to for a description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“holder” </w:t>
      </w:r>
      <w:r>
        <w:rPr>
          <w:rFonts w:ascii="Times New Roman" w:cs="Times New Roman" w:eastAsia="Times New Roman" w:hAnsi="Times New Roman"/>
          <w:sz w:val="18"/>
          <w:szCs w:val="18"/>
          <w:color w:val="auto"/>
        </w:rPr>
        <w:t>meaning the Registered Holders or Registered Holder, respectively) of the Warrants. A copy of the Warrant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by the holder hereof upon written request to the Company. Defined terms used in this Warrant Certificate but not defined herein shall have the meanings given to them in the Warrant Agreement.</w:t>
      </w:r>
    </w:p>
    <w:p>
      <w:pPr>
        <w:spacing w:after="0" w:line="18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w:t>
      </w:r>
    </w:p>
    <w:p>
      <w:pPr>
        <w:spacing w:after="0" w:line="27" w:lineRule="exact"/>
        <w:rPr>
          <w:sz w:val="20"/>
          <w:szCs w:val="20"/>
          <w:color w:val="auto"/>
        </w:rPr>
      </w:pPr>
    </w:p>
    <w:p>
      <w:pPr>
        <w:ind w:left="4" w:right="100" w:hanging="4"/>
        <w:spacing w:after="0" w:line="255" w:lineRule="auto"/>
        <w:tabs>
          <w:tab w:leader="none" w:pos="2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issuance of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8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0904"/>
          </w:cols>
          <w:pgMar w:left="436" w:top="266" w:right="559" w:bottom="1440" w:gutter="0" w:footer="0" w:header="0"/>
        </w:sectPr>
      </w:pPr>
    </w:p>
    <w:bookmarkStart w:id="219" w:name="page220"/>
    <w:bookmarkEnd w:id="219"/>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0840"/>
          </w:cols>
          <w:pgMar w:left="440" w:top="270" w:right="619" w:bottom="1440" w:gutter="0" w:footer="0" w:header="0"/>
        </w:sectPr>
      </w:pPr>
    </w:p>
    <w:bookmarkStart w:id="220" w:name="page221"/>
    <w:bookmarkEnd w:id="2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to Purchase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w:t>
      </w:r>
    </w:p>
    <w:p>
      <w:pPr>
        <w:spacing w:after="0" w:line="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whose address is and that such</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Ordinary Shares be delivered to whose address is . If said number of shares is less than all of the Ordinary Shares purchasable hereunder, the undersigned requests that a new Warrant Certificate representing the remaining balance of such Ordinary Shares be registered in the name</w:t>
      </w:r>
    </w:p>
    <w:p>
      <w:pPr>
        <w:spacing w:after="0" w:line="1" w:lineRule="exact"/>
        <w:rPr>
          <w:sz w:val="20"/>
          <w:szCs w:val="20"/>
          <w:color w:val="auto"/>
        </w:rPr>
      </w:pPr>
    </w:p>
    <w:p>
      <w:pPr>
        <w:spacing w:after="0"/>
        <w:tabs>
          <w:tab w:leader="none" w:pos="900" w:val="left"/>
          <w:tab w:leader="none" w:pos="3000" w:val="left"/>
          <w:tab w:leader="none" w:pos="7200" w:val="left"/>
          <w:tab w:leader="none" w:pos="92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8"/>
          <w:szCs w:val="18"/>
          <w:color w:val="auto"/>
        </w:rPr>
        <w:t>and that such Warrant Certificate be delivered to</w:t>
      </w:r>
      <w:r>
        <w:rPr>
          <w:sz w:val="20"/>
          <w:szCs w:val="20"/>
          <w:color w:val="auto"/>
        </w:rPr>
        <w:tab/>
      </w:r>
      <w:r>
        <w:rPr>
          <w:rFonts w:ascii="Times New Roman" w:cs="Times New Roman" w:eastAsia="Times New Roman" w:hAnsi="Times New Roman"/>
          <w:sz w:val="18"/>
          <w:szCs w:val="18"/>
          <w:color w:val="auto"/>
        </w:rPr>
        <w:t>, whose address is</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291465</wp:posOffset>
            </wp:positionV>
            <wp:extent cx="30772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-7620</wp:posOffset>
            </wp:positionV>
            <wp:extent cx="197104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360045</wp:posOffset>
            </wp:positionV>
            <wp:extent cx="30772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582930</wp:posOffset>
            </wp:positionV>
            <wp:extent cx="30772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874395</wp:posOffset>
            </wp:positionV>
            <wp:extent cx="30772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-7620</wp:posOffset>
            </wp:positionV>
            <wp:extent cx="21424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4249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128905</wp:posOffset>
            </wp:positionV>
            <wp:extent cx="5143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31546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0" w:right="65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5" w:lineRule="exact"/>
        <w:rPr>
          <w:sz w:val="20"/>
          <w:szCs w:val="20"/>
          <w:color w:val="auto"/>
        </w:rPr>
      </w:pPr>
    </w:p>
    <w:p>
      <w:pPr>
        <w:jc w:val="both"/>
        <w:ind w:right="380" w:firstLine="440"/>
        <w:spacing w:after="0" w:line="268" w:lineRule="auto"/>
        <w:rPr>
          <w:sz w:val="20"/>
          <w:szCs w:val="20"/>
          <w:color w:val="auto"/>
        </w:rPr>
      </w:pPr>
      <w:r>
        <w:rPr>
          <w:rFonts w:ascii="Times New Roman" w:cs="Times New Roman" w:eastAsia="Times New Roman" w:hAnsi="Times New Roman"/>
          <w:sz w:val="18"/>
          <w:szCs w:val="18"/>
          <w:color w:val="auto"/>
        </w:rPr>
        <w:t>THIS WARRANT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2023, is by and between Ares Acquisition Corporation II,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a New York corporation, as warrant agent (in such capacity,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and also referred to herein as the “</w:t>
      </w: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WHEREAS, the Company is engaged in an initial public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units of the Company’s equity securities, each such unit comprised of one Class A ordinary share of the Company, par value $0.0001 per share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and one-half of a redeemable Public Warrant (as defined below)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and, in connection therewith, has determined to issue and deliver up to 10,000,000 warrants (or up to 11,500,000 warrants depending on the extent to which the Over-allotment Option (as defined below) is exercised) to public investors in the Offering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WHEREAS, the Company entered into that certain Private Placement Warrants Purchase Agreement with Ares Acquisition Holdings II LP, a Cayman Islands exempted limited partnership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xml:space="preserve">”), pursuant to which the Sponsor agreed to purchase an aggregate of 7,000,000 private placement warrants (or up to 7,300,000 private placement warrants depending on the extent to which the Over-allotment Option is exercised) simultaneously with the closing of the Offering (and the closing of the Over-allotment Option, if applicable), each bearing the legend set forth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WHEREAS, in order to finance the Company’s transaction costs in connection with an intended initial Business Combination (as defined below), the Sponsor or an affiliate of the Sponsor or the Company’s officers and directors may, but are not obligated to, loan to the Company funds as the Company may require, of which up to $2,000,000 of such loans may be convertible into up to an additional 2,000,000 warrants at a price of $1.00 per warrant, which will be identical to the Private Placement Warrants (the “</w:t>
      </w:r>
      <w:r>
        <w:rPr>
          <w:rFonts w:ascii="Times New Roman" w:cs="Times New Roman" w:eastAsia="Times New Roman" w:hAnsi="Times New Roman"/>
          <w:sz w:val="18"/>
          <w:szCs w:val="18"/>
          <w:b w:val="1"/>
          <w:bCs w:val="1"/>
          <w:i w:val="1"/>
          <w:iCs w:val="1"/>
          <w:color w:val="auto"/>
        </w:rPr>
        <w:t>Working Capital Warrants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WHEREAS, in order to extend the period of time the Company has to consummate a Business Combination by an additional two months, the Company, or the Sponsor or its affiliates or designees (the “</w:t>
      </w:r>
      <w:r>
        <w:rPr>
          <w:rFonts w:ascii="Times New Roman" w:cs="Times New Roman" w:eastAsia="Times New Roman" w:hAnsi="Times New Roman"/>
          <w:sz w:val="18"/>
          <w:szCs w:val="18"/>
          <w:b w:val="1"/>
          <w:bCs w:val="1"/>
          <w:i w:val="1"/>
          <w:iCs w:val="1"/>
          <w:color w:val="auto"/>
        </w:rPr>
        <w:t>Contributor</w:t>
      </w:r>
      <w:r>
        <w:rPr>
          <w:rFonts w:ascii="Times New Roman" w:cs="Times New Roman" w:eastAsia="Times New Roman" w:hAnsi="Times New Roman"/>
          <w:sz w:val="18"/>
          <w:szCs w:val="18"/>
          <w:color w:val="auto"/>
        </w:rPr>
        <w:t>”) if the Company does not have sufficient funds, must deposit into the trust account additional funds of $[•], or $[•] if the underwriter’s Over-allotment Option is exercised in full ($[•] per Unit in either case), for each of the available two-month extensions, for a total payment of up to $[•], or $[•] if the underwriter’s Over-allotment Option is exercised in full ($[•] per Unit in either case), in exchange, in the case of a contribution by a Contributor, for a non-interest bearing, unsecured promissory note, and such loan may be convertible into Warrants at a price of $1.00 per Warrant at the option of the Contributor, which will be identical to the Private Placement Warrants (the “</w:t>
      </w:r>
      <w:r>
        <w:rPr>
          <w:rFonts w:ascii="Times New Roman" w:cs="Times New Roman" w:eastAsia="Times New Roman" w:hAnsi="Times New Roman"/>
          <w:sz w:val="18"/>
          <w:szCs w:val="18"/>
          <w:b w:val="1"/>
          <w:bCs w:val="1"/>
          <w:i w:val="1"/>
          <w:iCs w:val="1"/>
          <w:color w:val="auto"/>
        </w:rPr>
        <w:t>Extension Warrants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WHEREAS, following the consummation of the Offering, the Company may issue additional warrants (the “</w:t>
      </w:r>
      <w:r>
        <w:rPr>
          <w:rFonts w:ascii="Times New Roman" w:cs="Times New Roman" w:eastAsia="Times New Roman" w:hAnsi="Times New Roman"/>
          <w:sz w:val="18"/>
          <w:szCs w:val="18"/>
          <w:b w:val="1"/>
          <w:bCs w:val="1"/>
          <w:i w:val="1"/>
          <w:iCs w:val="1"/>
          <w:color w:val="auto"/>
        </w:rPr>
        <w:t>Post-IPO Warrants</w:t>
      </w:r>
      <w:r>
        <w:rPr>
          <w:rFonts w:ascii="Times New Roman" w:cs="Times New Roman" w:eastAsia="Times New Roman" w:hAnsi="Times New Roman"/>
          <w:sz w:val="18"/>
          <w:szCs w:val="18"/>
          <w:color w:val="auto"/>
        </w:rPr>
        <w:t>,” and together with the Public Warrants, Private Placement Warrants, Working Capital Warrants and Extension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in connection with, or following the consummation by the Company of, a Business Combination;</w:t>
      </w:r>
    </w:p>
    <w:p>
      <w:pPr>
        <w:sectPr>
          <w:pgSz w:w="11900" w:h="16838" w:orient="portrait"/>
          <w:cols w:equalWidth="0" w:num="1">
            <w:col w:w="11020"/>
          </w:cols>
          <w:pgMar w:left="440" w:top="117" w:right="439" w:bottom="1440" w:gutter="0" w:footer="0" w:header="0"/>
        </w:sectPr>
      </w:pPr>
    </w:p>
    <w:bookmarkStart w:id="223" w:name="page224"/>
    <w:bookmarkEnd w:id="223"/>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each Warrant entitles the holder thereof to purchase one Ordinary Share at a price of $11.50 per share, subject to adjustment as described herein;</w:t>
      </w:r>
    </w:p>
    <w:p>
      <w:pPr>
        <w:spacing w:after="0" w:line="158"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WHEREAS, the Company has filed with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 registration statement on Form S-1, File No. 333-[•]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and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Units, the Public Warrants and the Ordinary Shares included in the Units;</w:t>
      </w:r>
    </w:p>
    <w:p>
      <w:pPr>
        <w:spacing w:after="0" w:line="17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ind w:right="500" w:firstLine="440"/>
        <w:spacing w:after="0" w:line="312" w:lineRule="auto"/>
        <w:rPr>
          <w:sz w:val="20"/>
          <w:szCs w:val="20"/>
          <w:color w:val="auto"/>
        </w:rPr>
      </w:pPr>
      <w:r>
        <w:rPr>
          <w:rFonts w:ascii="Times New Roman" w:cs="Times New Roman" w:eastAsia="Times New Roman" w:hAnsi="Times New Roman"/>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right="260" w:firstLine="436"/>
        <w:spacing w:after="0" w:line="266" w:lineRule="auto"/>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xml:space="preserve">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shall initially be issued in registered form only, and, if a physical certificate is issued, shall be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President, Chief Executive Officer, Chief Financial Officer, Secretary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(each, a “</w:t>
      </w:r>
      <w:r>
        <w:rPr>
          <w:rFonts w:ascii="Times New Roman" w:cs="Times New Roman" w:eastAsia="Times New Roman" w:hAnsi="Times New Roman"/>
          <w:sz w:val="18"/>
          <w:szCs w:val="18"/>
          <w:b w:val="1"/>
          <w:bCs w:val="1"/>
          <w:i w:val="1"/>
          <w:iCs w:val="1"/>
          <w:color w:val="auto"/>
        </w:rPr>
        <w:t>Book-Entry Warrant Certificate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224" w:name="page225"/>
    <w:bookmarkEnd w:id="224"/>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xml:space="preserve"> If a physical certificate is issued, unless and until countersigned by the Warrant Agent pursuant to this Agreement, a Warrant certificate shall be invalid and of no effect and may not be exercised by the holder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Warrant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ister.</w:t>
      </w:r>
      <w:r>
        <w:rPr>
          <w:rFonts w:ascii="Times New Roman" w:cs="Times New Roman" w:eastAsia="Times New Roman" w:hAnsi="Times New Roman"/>
          <w:sz w:val="18"/>
          <w:szCs w:val="18"/>
          <w:color w:val="auto"/>
        </w:rPr>
        <w:t xml:space="preserve"> The Warrant Agent shall maintain books (the “</w:t>
      </w:r>
      <w:r>
        <w:rPr>
          <w:rFonts w:ascii="Times New Roman" w:cs="Times New Roman" w:eastAsia="Times New Roman" w:hAnsi="Times New Roman"/>
          <w:sz w:val="18"/>
          <w:szCs w:val="18"/>
          <w:b w:val="1"/>
          <w:bCs w:val="1"/>
          <w:i w:val="1"/>
          <w:iCs w:val="1"/>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All of the Public Warrants shall initially be represented by one or more Book-Entry Warrant Certificates deposited with The Depository Trust Company (the “</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and registered in the name of Cede &amp; Co., as nominee of the Depositary. Ownership of beneficial interests in the Public Warrants shall be shown on, and the transfer of such ownership shall be effected through, records maintained by (i) the Depositary or its nominee for each Book-Entry Warrant Certificate, or (ii) institutions that have accounts with the Depositary (each such institution, with respect to a Warrant in its account,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Warrant Certificate, and the Company shall instruct the Warrant Agent to deliver to the Depositary definitive certificates in physical form evidencing such Warrants (“</w:t>
      </w:r>
      <w:r>
        <w:rPr>
          <w:rFonts w:ascii="Times New Roman" w:cs="Times New Roman" w:eastAsia="Times New Roman" w:hAnsi="Times New Roman"/>
          <w:sz w:val="18"/>
          <w:szCs w:val="18"/>
          <w:b w:val="1"/>
          <w:bCs w:val="1"/>
          <w:i w:val="1"/>
          <w:iCs w:val="1"/>
          <w:color w:val="auto"/>
        </w:rPr>
        <w:t>Definitive Warrant Certificate</w:t>
      </w:r>
      <w:r>
        <w:rPr>
          <w:rFonts w:ascii="Times New Roman" w:cs="Times New Roman" w:eastAsia="Times New Roman" w:hAnsi="Times New Roman"/>
          <w:sz w:val="18"/>
          <w:szCs w:val="18"/>
          <w:color w:val="auto"/>
        </w:rPr>
        <w:t xml:space="preserve">”). Such Definitive Warrant Certificate shall be in the form annexed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appropriate insertions, modifications and omissions, as provided above.</w:t>
      </w:r>
    </w:p>
    <w:p>
      <w:pPr>
        <w:spacing w:after="0" w:line="187" w:lineRule="exact"/>
        <w:rPr>
          <w:sz w:val="20"/>
          <w:szCs w:val="20"/>
          <w:color w:val="auto"/>
        </w:rPr>
      </w:pPr>
    </w:p>
    <w:p>
      <w:pPr>
        <w:ind w:right="14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xml:space="preserve"> Prior to due presentment for registration of transfer of any Warrant, the Company and the Warrant Agent may deem and treat the person in whose name such Warrant is registered in the Warrant Register (the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a Definitive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xml:space="preserve"> The Ordinary Shares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then on the immediately succeeding Business Day following such date, or earlier (the “</w:t>
      </w:r>
      <w:r>
        <w:rPr>
          <w:rFonts w:ascii="Times New Roman" w:cs="Times New Roman" w:eastAsia="Times New Roman" w:hAnsi="Times New Roman"/>
          <w:sz w:val="18"/>
          <w:szCs w:val="18"/>
          <w:b w:val="1"/>
          <w:bCs w:val="1"/>
          <w:i w:val="1"/>
          <w:iCs w:val="1"/>
          <w:color w:val="auto"/>
        </w:rPr>
        <w:t>Detachment Date</w:t>
      </w:r>
      <w:r>
        <w:rPr>
          <w:rFonts w:ascii="Times New Roman" w:cs="Times New Roman" w:eastAsia="Times New Roman" w:hAnsi="Times New Roman"/>
          <w:sz w:val="18"/>
          <w:szCs w:val="18"/>
          <w:color w:val="auto"/>
        </w:rPr>
        <w:t>”) with the consent of Citigroup Global Markets Inc., but in no event shall the Ordinary Shares and the Public Warrants comprising the Units be separately traded until (A) the Company has filed a current report on Form 8-K with the Commission containing an audited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25" w:name="page226"/>
    <w:bookmarkEnd w:id="225"/>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balance sheet reflecting the receipt by the Company of the gross proceeds of the Offering, including the proceeds received by the Company from the exercise by the underwriter of its right to purchase additional Units in the Offering (the “</w:t>
      </w:r>
      <w:r>
        <w:rPr>
          <w:rFonts w:ascii="Times New Roman" w:cs="Times New Roman" w:eastAsia="Times New Roman" w:hAnsi="Times New Roman"/>
          <w:sz w:val="18"/>
          <w:szCs w:val="18"/>
          <w:b w:val="1"/>
          <w:bCs w:val="1"/>
          <w:i w:val="1"/>
          <w:iCs w:val="1"/>
          <w:color w:val="auto"/>
        </w:rPr>
        <w:t>Over-allotment Option</w:t>
      </w:r>
      <w:r>
        <w:rPr>
          <w:rFonts w:ascii="Times New Roman" w:cs="Times New Roman" w:eastAsia="Times New Roman" w:hAnsi="Times New Roman"/>
          <w:sz w:val="18"/>
          <w:szCs w:val="18"/>
          <w:color w:val="auto"/>
        </w:rPr>
        <w:t>”), if the Overallotment Option is exercised prior to the filing of the Form 8-K, and (B) the Company issues a press release and files with the Commission a current report on Form 8-K announcing when such separate trading shall begin.</w:t>
      </w:r>
    </w:p>
    <w:p>
      <w:pPr>
        <w:spacing w:after="0" w:line="180"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Warrants Other Than as Part of Units</w:t>
      </w:r>
      <w:r>
        <w:rPr>
          <w:rFonts w:ascii="Times New Roman" w:cs="Times New Roman" w:eastAsia="Times New Roman" w:hAnsi="Times New Roman"/>
          <w:sz w:val="18"/>
          <w:szCs w:val="18"/>
          <w:color w:val="auto"/>
        </w:rPr>
        <w:t>. The Company shall not issue fractional Warrants other than as part of the Units, each of which is comprised of one Ordinary Share and one-half of one Public Warrant. If, upon the detachment of Public Warrants from Units or otherwise, a holder of Warrants would be entitled to receive a fractional Warrant, the Company shall round down to the nearest whole number of Warrants to be issued to such holder.</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Private Placement Warrants, Working Capital Warrants and Extension Warrants.</w:t>
      </w:r>
      <w:r>
        <w:rPr>
          <w:rFonts w:ascii="Times New Roman" w:cs="Times New Roman" w:eastAsia="Times New Roman" w:hAnsi="Times New Roman"/>
          <w:sz w:val="18"/>
          <w:szCs w:val="18"/>
          <w:color w:val="auto"/>
        </w:rPr>
        <w:t xml:space="preserve"> The Private Placement Warrants, the Working Capital Warrants and Extension Warrants shall be identical to the Public Warrants, except that the Private Placement Warrants, the Working Capital Warrants and Extension Warrants: (i) may be exercised for cash or on a “cashless basis,” pursuant to </w:t>
      </w:r>
      <w:r>
        <w:rPr>
          <w:rFonts w:ascii="Times New Roman" w:cs="Times New Roman" w:eastAsia="Times New Roman" w:hAnsi="Times New Roman"/>
          <w:sz w:val="18"/>
          <w:szCs w:val="18"/>
          <w:u w:val="single" w:color="auto"/>
          <w:color w:val="auto"/>
        </w:rPr>
        <w:t>subsection 3.3.1(c)</w:t>
      </w:r>
      <w:r>
        <w:rPr>
          <w:rFonts w:ascii="Times New Roman" w:cs="Times New Roman" w:eastAsia="Times New Roman" w:hAnsi="Times New Roman"/>
          <w:sz w:val="18"/>
          <w:szCs w:val="18"/>
          <w:color w:val="auto"/>
        </w:rPr>
        <w:t xml:space="preserve"> hereof, (ii) may not be transferred, assigned or sold until thirty (30) days after the completion by the Company of an initial Business Combination and (iii) shall not be redeemable by the Company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provided, however, that in the case of clause (ii), the Private Placement Warrants, the Working Capital Warrants and Extension Warrants may be transferred by the holders thereof:</w:t>
      </w:r>
    </w:p>
    <w:p>
      <w:pPr>
        <w:spacing w:after="0" w:line="187" w:lineRule="exact"/>
        <w:rPr>
          <w:sz w:val="20"/>
          <w:szCs w:val="20"/>
          <w:color w:val="auto"/>
        </w:rPr>
      </w:pPr>
    </w:p>
    <w:p>
      <w:pPr>
        <w:ind w:right="40" w:firstLine="1428"/>
        <w:spacing w:after="0" w:line="282" w:lineRule="auto"/>
        <w:tabs>
          <w:tab w:leader="none" w:pos="16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officers or directors, any affiliate or family member of any of the Company’s officers or directors, any affiliate of the Sponsor or to any member(s) of the Sponsor or any of their affiliates;</w:t>
      </w:r>
    </w:p>
    <w:p>
      <w:pPr>
        <w:spacing w:after="0" w:line="161" w:lineRule="exact"/>
        <w:rPr>
          <w:rFonts w:ascii="Times New Roman" w:cs="Times New Roman" w:eastAsia="Times New Roman" w:hAnsi="Times New Roman"/>
          <w:sz w:val="18"/>
          <w:szCs w:val="18"/>
          <w:color w:val="auto"/>
        </w:rPr>
      </w:pPr>
    </w:p>
    <w:p>
      <w:pPr>
        <w:ind w:right="60" w:firstLine="1428"/>
        <w:spacing w:after="0" w:line="282" w:lineRule="auto"/>
        <w:tabs>
          <w:tab w:leader="none" w:pos="168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gift to a member of such individual’s immediate family or to a trust, the beneficiary of which is a member of such individual’s immediate family, an affiliate of such individual or to a charitable organization;</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by virtue of the laws of descent and distribution upon death of such person;</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pursuant to a qualified domestic relations order;</w:t>
      </w:r>
    </w:p>
    <w:p>
      <w:pPr>
        <w:spacing w:after="0" w:line="225" w:lineRule="exact"/>
        <w:rPr>
          <w:rFonts w:ascii="Times New Roman" w:cs="Times New Roman" w:eastAsia="Times New Roman" w:hAnsi="Times New Roman"/>
          <w:sz w:val="18"/>
          <w:szCs w:val="18"/>
          <w:color w:val="auto"/>
        </w:rPr>
      </w:pPr>
    </w:p>
    <w:p>
      <w:pPr>
        <w:ind w:right="140" w:firstLine="1428"/>
        <w:spacing w:after="0" w:line="266" w:lineRule="auto"/>
        <w:tabs>
          <w:tab w:leader="none" w:pos="16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private sales or transfers made in connection with any forward purchase agreement or similar arrangement or in connection with the consummation of an initial Business Combination at prices no greater than the price at which the Ordinary Shares or Warrants were originally purchased;</w:t>
      </w:r>
    </w:p>
    <w:p>
      <w:pPr>
        <w:spacing w:after="0" w:line="175"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virtue of the laws of the Cayman Islands or the limited liability company agreement of the Sponsor upon dissolution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w:t>
      </w:r>
    </w:p>
    <w:p>
      <w:pPr>
        <w:spacing w:after="0" w:line="206"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Company’s liquidation prior to the consummation of a Business Combination;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26" w:name="page227"/>
    <w:bookmarkEnd w:id="226"/>
    <w:p>
      <w:pPr>
        <w:ind w:left="4" w:right="80" w:firstLine="1428"/>
        <w:spacing w:after="0" w:line="255" w:lineRule="auto"/>
        <w:tabs>
          <w:tab w:leader="none" w:pos="169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subsequent to the consummation of an initial Business Combination, the Company completes a liquidation, merger, share exchange or other similar transaction which results in all of its shareholders having the right to exchange their Ordinary Shares for cash, securities or other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(a) through (f), these transferees (the “</w:t>
      </w:r>
      <w:r>
        <w:rPr>
          <w:rFonts w:ascii="Times New Roman" w:cs="Times New Roman" w:eastAsia="Times New Roman" w:hAnsi="Times New Roman"/>
          <w:sz w:val="18"/>
          <w:szCs w:val="18"/>
          <w:b w:val="1"/>
          <w:bCs w:val="1"/>
          <w:i w:val="1"/>
          <w:iCs w:val="1"/>
          <w:color w:val="auto"/>
        </w:rPr>
        <w:t>Permitted Transferees</w:t>
      </w:r>
      <w:r>
        <w:rPr>
          <w:rFonts w:ascii="Times New Roman" w:cs="Times New Roman" w:eastAsia="Times New Roman" w:hAnsi="Times New Roman"/>
          <w:sz w:val="18"/>
          <w:szCs w:val="18"/>
          <w:color w:val="auto"/>
        </w:rPr>
        <w:t>”) enter into a written agreement with the Company agreeing to be bound by the transfer restrictions in this Agreement and the other restrictions contained in the letter agreement, dated as of the date hereof, by and among the Company, the Sponsor and the Company’s officers and directors. In addition, the Ordinary Shares issued upon exercise of the Private Placement Warrants, Working Capital Warrants and Extension Warrants, may not be transferred, assigned or sold until thirty (30) days after the completion by the Company of an initial Business Combination, except to Permitted Transferees.</w:t>
      </w:r>
    </w:p>
    <w:p>
      <w:pPr>
        <w:spacing w:after="0" w:line="18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Working Capital Warrants; Extension Warrants</w:t>
      </w:r>
      <w:r>
        <w:rPr>
          <w:rFonts w:ascii="Times New Roman" w:cs="Times New Roman" w:eastAsia="Times New Roman" w:hAnsi="Times New Roman"/>
          <w:sz w:val="18"/>
          <w:szCs w:val="18"/>
          <w:color w:val="auto"/>
        </w:rPr>
        <w:t>. Each of the Working Capital Warrants and Extension Warrants shall be identical to the Private Placement Warrants.</w:t>
      </w:r>
    </w:p>
    <w:p>
      <w:pPr>
        <w:spacing w:after="0" w:line="162"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The Post-IPO Warrants may only be issued in connection with, or following the consummation by the Company of, a Business Combination. Each Post-IPO Warrant, when and if issued, shall have the same terms and be in the same form as the Public Warrants except as may be agreed upon by the Company.</w:t>
      </w:r>
    </w:p>
    <w:p>
      <w:pPr>
        <w:spacing w:after="0" w:line="176" w:lineRule="exact"/>
        <w:rPr>
          <w:sz w:val="20"/>
          <w:szCs w:val="20"/>
          <w:color w:val="auto"/>
        </w:rPr>
      </w:pPr>
    </w:p>
    <w:p>
      <w:pPr>
        <w:ind w:left="624" w:hanging="184"/>
        <w:spacing w:after="0"/>
        <w:tabs>
          <w:tab w:leader="none" w:pos="6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xml:space="preserve"> Each whole Warrant shall entitle the Registered Holder thereof, subject to the provisions of such Warrant and of this Agreement, to purchase from the Company the number of Ordinary Shares stated therein, at the price of $11.50 per share, subject to the adjustments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in the last sentence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as used in this Agreement shall mean the price per share at which the Ordinary Shares may be purchased at the time a Warrant is exercised. The Company in its sole discretion may lower the Warrant Price at any time prior to the Expiration Date (as defined below) for a period of not less than twenty (20) Business Days unless a longer period is required by stock exchange rules or applicable law, provided, that the Company shall provide at least three (3) days prior written notice of such reduction to Registered Holders of the Warrants and, provided further that any such reduction shall be identical among all of the Warrants.</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xml:space="preserve"> A Warrant may be exercised only during the period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commencing on the later of:</w:t>
      </w:r>
    </w:p>
    <w:p>
      <w:pPr>
        <w:spacing w:after="0" w:line="31" w:lineRule="exact"/>
        <w:rPr>
          <w:sz w:val="20"/>
          <w:szCs w:val="20"/>
          <w:color w:val="auto"/>
        </w:rPr>
      </w:pPr>
    </w:p>
    <w:p>
      <w:pPr>
        <w:ind w:left="4" w:right="260" w:hanging="4"/>
        <w:spacing w:after="0" w:line="250" w:lineRule="auto"/>
        <w:tabs>
          <w:tab w:leader="none" w:pos="21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(30) days after the first date on which the Company completes a merger, share exchange, asset acquisition, share purchase, reorganization or similar business combination, involving the Company and one or more businesses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and (ii) the date that is twelve</w:t>
      </w: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months from the date of the closing of the Offering, and terminating at the earliest to occur of: (x) at 5:00 p.m., New York City time on the date that is five (5) years after the date on which the Company completes its initial Business Combination, (y) the liquidation of the Company, and (z) other than with respect to the Private Placement Warrants, the Working Capital Warrants and Extension Warrants, at 5:00 p.m., New York City time on the Redemption Date (as defined below) as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of any Warrant shall be subject to the satisfaction of any applicable conditions, as set forth in </w:t>
      </w:r>
      <w:r>
        <w:rPr>
          <w:rFonts w:ascii="Times New Roman" w:cs="Times New Roman" w:eastAsia="Times New Roman" w:hAnsi="Times New Roman"/>
          <w:sz w:val="18"/>
          <w:szCs w:val="18"/>
          <w:u w:val="single" w:color="auto"/>
          <w:color w:val="auto"/>
        </w:rPr>
        <w:t>subsection 3.3.2</w:t>
      </w:r>
      <w:r>
        <w:rPr>
          <w:rFonts w:ascii="Times New Roman" w:cs="Times New Roman" w:eastAsia="Times New Roman" w:hAnsi="Times New Roman"/>
          <w:sz w:val="18"/>
          <w:szCs w:val="18"/>
          <w:color w:val="auto"/>
        </w:rPr>
        <w:t xml:space="preserve"> below, with</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27" w:name="page228"/>
    <w:bookmarkEnd w:id="2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to an effective registration statement or a valid exemption therefrom being available. Except with respect to the right to receive the Redemption Price (as defined below) (other than with respect to a Private Placement Warrant, a Working Capital Warrant or an Extension Warrant) in the event of a redemption (as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each outstanding Warrant (other than a Private Placement Warrant, a Working Capital Warrant or an Extension Warrant)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provide at least twenty (20) days prior written notice of any such extension to Registered Holders of the Warrants and, provided further that any such extension shall be identical in duration among all the Warrants.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Book-Entry Warrant Certificate, the Warrants to be exercised (the “</w:t>
      </w:r>
      <w:r>
        <w:rPr>
          <w:rFonts w:ascii="Times New Roman" w:cs="Times New Roman" w:eastAsia="Times New Roman" w:hAnsi="Times New Roman"/>
          <w:sz w:val="18"/>
          <w:szCs w:val="18"/>
          <w:b w:val="1"/>
          <w:bCs w:val="1"/>
          <w:i w:val="1"/>
          <w:iCs w:val="1"/>
          <w:color w:val="auto"/>
        </w:rPr>
        <w:t>Book-Entry Warrants</w:t>
      </w:r>
      <w:r>
        <w:rPr>
          <w:rFonts w:ascii="Times New Roman" w:cs="Times New Roman" w:eastAsia="Times New Roman" w:hAnsi="Times New Roman"/>
          <w:sz w:val="18"/>
          <w:szCs w:val="18"/>
          <w:color w:val="auto"/>
        </w:rPr>
        <w:t>”) on the records of the Depositary to an account of the Warrant Agent at the Depositary designated for such purposes in writing by the Warrant Agent to the Depositary from time to time, (ii) an election to purchase (“</w:t>
      </w:r>
      <w:r>
        <w:rPr>
          <w:rFonts w:ascii="Times New Roman" w:cs="Times New Roman" w:eastAsia="Times New Roman" w:hAnsi="Times New Roman"/>
          <w:sz w:val="18"/>
          <w:szCs w:val="18"/>
          <w:b w:val="1"/>
          <w:bCs w:val="1"/>
          <w:i w:val="1"/>
          <w:iCs w:val="1"/>
          <w:color w:val="auto"/>
        </w:rPr>
        <w:t>Election to Purchase</w:t>
      </w:r>
      <w:r>
        <w:rPr>
          <w:rFonts w:ascii="Times New Roman" w:cs="Times New Roman" w:eastAsia="Times New Roman" w:hAnsi="Times New Roman"/>
          <w:sz w:val="18"/>
          <w:szCs w:val="18"/>
          <w:color w:val="auto"/>
        </w:rPr>
        <w:t>”) Ordinary Shares pursuant to the exercise of a Warrant, properly completed and executed by the Registered Holder on the reverse of the Definitive Warrant Certificate or, in the case of a Book-Entry Warrant Certificate, properly delivered by the Participant in accordance with the Depositary’s procedures, and (iii) payment in full of the Warrant Price for each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88" w:lineRule="exact"/>
        <w:rPr>
          <w:sz w:val="20"/>
          <w:szCs w:val="20"/>
          <w:color w:val="auto"/>
        </w:rPr>
      </w:pPr>
    </w:p>
    <w:p>
      <w:pPr>
        <w:ind w:right="60" w:firstLine="1979"/>
        <w:spacing w:after="0" w:line="282" w:lineRule="auto"/>
        <w:tabs>
          <w:tab w:leader="none" w:pos="222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lawful money of the United States, in good certified check or good bank draft payable to the Warrant Agent or by wire transfer of immediately available funds;</w:t>
      </w:r>
    </w:p>
    <w:p>
      <w:pPr>
        <w:spacing w:after="0" w:line="161" w:lineRule="exact"/>
        <w:rPr>
          <w:rFonts w:ascii="Times New Roman" w:cs="Times New Roman" w:eastAsia="Times New Roman" w:hAnsi="Times New Roman"/>
          <w:sz w:val="18"/>
          <w:szCs w:val="18"/>
          <w:color w:val="auto"/>
        </w:rPr>
      </w:pPr>
    </w:p>
    <w:p>
      <w:pPr>
        <w:ind w:right="80" w:firstLine="1979"/>
        <w:spacing w:after="0" w:line="274" w:lineRule="auto"/>
        <w:tabs>
          <w:tab w:leader="none" w:pos="223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redemption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hereof in which the Board has elected to require all holders of the Warrants to exercise such Warrants on a “cashless basis,” by surrendering the Warrants for that number of Ordinary Shares equal to the quotient obtained by dividing (x) the product of the number of Ordinary Shares underlying the Warrants, multiplied by the difference between the Warrant Price and the “Fair Market Value”, as defined in this </w:t>
      </w:r>
      <w:r>
        <w:rPr>
          <w:rFonts w:ascii="Times New Roman" w:cs="Times New Roman" w:eastAsia="Times New Roman" w:hAnsi="Times New Roman"/>
          <w:sz w:val="17"/>
          <w:szCs w:val="17"/>
          <w:u w:val="single" w:color="auto"/>
          <w:color w:val="auto"/>
        </w:rPr>
        <w:t>subsection 3.3.1(b)</w:t>
      </w:r>
      <w:r>
        <w:rPr>
          <w:rFonts w:ascii="Times New Roman" w:cs="Times New Roman" w:eastAsia="Times New Roman" w:hAnsi="Times New Roman"/>
          <w:sz w:val="17"/>
          <w:szCs w:val="17"/>
          <w:color w:val="auto"/>
        </w:rPr>
        <w:t xml:space="preserve"> by (y) the Fair Market Value. Solely for purposes of this </w:t>
      </w:r>
      <w:r>
        <w:rPr>
          <w:rFonts w:ascii="Times New Roman" w:cs="Times New Roman" w:eastAsia="Times New Roman" w:hAnsi="Times New Roman"/>
          <w:sz w:val="17"/>
          <w:szCs w:val="17"/>
          <w:u w:val="single" w:color="auto"/>
          <w:color w:val="auto"/>
        </w:rPr>
        <w:t>subsection 3.3.1</w:t>
      </w:r>
      <w:r>
        <w:rPr>
          <w:rFonts w:ascii="Times New Roman" w:cs="Times New Roman" w:eastAsia="Times New Roman" w:hAnsi="Times New Roman"/>
          <w:sz w:val="17"/>
          <w:szCs w:val="17"/>
          <w:color w:val="auto"/>
        </w:rPr>
        <w:t xml:space="preserve">(b) and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the “Fair Market Value” shall mean the average last reported sale price of the Ordinary Shares for the ten (10) trading day period ending on the trading day immediately prior to the date on which the notice of redemption is sent to the holders of the Warrants,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hereof;</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28" w:name="page229"/>
    <w:bookmarkEnd w:id="228"/>
    <w:p>
      <w:pPr>
        <w:ind w:firstLine="1979"/>
        <w:spacing w:after="0" w:line="256" w:lineRule="auto"/>
        <w:tabs>
          <w:tab w:leader="none" w:pos="222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Private Placement Warrant, Working Capital Warrant or Extension Warrant, or Post-IPO Warrant to the extent applicable, by surrendering the Warrants for that number of Ordinary Shares equal to the quotient obtained by dividing (x) the product of the number of Ordinary Shares underlying the Warrants, multiplied by the difference between the Warrant Price and the “Exercise Fair Market Value,” as defined in this </w:t>
      </w:r>
      <w:r>
        <w:rPr>
          <w:rFonts w:ascii="Times New Roman" w:cs="Times New Roman" w:eastAsia="Times New Roman" w:hAnsi="Times New Roman"/>
          <w:sz w:val="18"/>
          <w:szCs w:val="18"/>
          <w:u w:val="single" w:color="auto"/>
          <w:color w:val="auto"/>
        </w:rPr>
        <w:t>subsection 3.3.1</w:t>
      </w:r>
      <w:r>
        <w:rPr>
          <w:rFonts w:ascii="Times New Roman" w:cs="Times New Roman" w:eastAsia="Times New Roman" w:hAnsi="Times New Roman"/>
          <w:sz w:val="18"/>
          <w:szCs w:val="18"/>
          <w:color w:val="auto"/>
        </w:rPr>
        <w:t xml:space="preserve">(c) by (y) the Sponsor Exercise Fair Market Value. Solely for purposes of this </w:t>
      </w:r>
      <w:r>
        <w:rPr>
          <w:rFonts w:ascii="Times New Roman" w:cs="Times New Roman" w:eastAsia="Times New Roman" w:hAnsi="Times New Roman"/>
          <w:sz w:val="18"/>
          <w:szCs w:val="18"/>
          <w:u w:val="single" w:color="auto"/>
          <w:color w:val="auto"/>
        </w:rPr>
        <w:t>subsection 3.3.1</w:t>
      </w:r>
      <w:r>
        <w:rPr>
          <w:rFonts w:ascii="Times New Roman" w:cs="Times New Roman" w:eastAsia="Times New Roman" w:hAnsi="Times New Roman"/>
          <w:sz w:val="18"/>
          <w:szCs w:val="18"/>
          <w:color w:val="auto"/>
        </w:rPr>
        <w:t>(c), the “Exercise Fair Market Value” shall mean the average last reported sale price of the Ordinary Shares for the ten (10) trading days ending on the third trading day prior to the date on which notice of exercise of the Warrant is sent to the Warrant Agent; or</w:t>
      </w:r>
    </w:p>
    <w:p>
      <w:pPr>
        <w:spacing w:after="0" w:line="18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cashless basis as provided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0" w:firstLine="1432"/>
        <w:spacing w:after="0" w:line="25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Ordinar</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Shares on Exercise</w:t>
      </w:r>
      <w:r>
        <w:rPr>
          <w:rFonts w:ascii="Times New Roman" w:cs="Times New Roman" w:eastAsia="Times New Roman" w:hAnsi="Times New Roman"/>
          <w:sz w:val="18"/>
          <w:szCs w:val="18"/>
          <w:color w:val="auto"/>
        </w:rPr>
        <w:t xml:space="preserve">. As soon as practicable after the exercise of any Warrant and the clearance of the funds in payment of the Warrant Price (if payment is pursuant to </w:t>
      </w:r>
      <w:r>
        <w:rPr>
          <w:rFonts w:ascii="Times New Roman" w:cs="Times New Roman" w:eastAsia="Times New Roman" w:hAnsi="Times New Roman"/>
          <w:sz w:val="18"/>
          <w:szCs w:val="18"/>
          <w:u w:val="single" w:color="auto"/>
          <w:color w:val="auto"/>
        </w:rPr>
        <w:t>subsection 3.3.1(a)</w:t>
      </w:r>
      <w:r>
        <w:rPr>
          <w:rFonts w:ascii="Times New Roman" w:cs="Times New Roman" w:eastAsia="Times New Roman" w:hAnsi="Times New Roman"/>
          <w:sz w:val="18"/>
          <w:szCs w:val="18"/>
          <w:color w:val="auto"/>
        </w:rPr>
        <w:t xml:space="preserve">), the Company shall issue to the Registered Holder of such Warrant a book-entry position or certificate, as applicable, for the number of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If fewer than all the Warrants evidenced by a Book-Entry Warrant Certificate are exercised, a notation shall be made to the records maintained by the Depositary, its nominee for each Book-Entry Warrant Certificate, or a Participant, as appropriate, evidencing the balance of the Warrants remaining after such exercise.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No Warrant shall be exercisable and the Company shall not be obligated to issue Ordinary Shares upon exercise of a Warrant unless the Ordinary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 shall have paid the full purchase price for the Unit solely for the Ordinary Share underlying such Unit. In no event will the Company be required to net cash settle the Warrant exercise. The Company may require holders of Public Warrants to settle the Warrant on a “cashless basis”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91" w:lineRule="exact"/>
        <w:rPr>
          <w:sz w:val="20"/>
          <w:szCs w:val="20"/>
          <w:color w:val="auto"/>
        </w:rPr>
      </w:pPr>
    </w:p>
    <w:p>
      <w:pPr>
        <w:ind w:right="18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Ordinary Shares issued upon the proper exercise of a Warrant in conformity with this Agreement shall be validly issued, fully paid and non-assessable.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29" w:name="page230"/>
    <w:bookmarkEnd w:id="229"/>
    <w:p>
      <w:pPr>
        <w:ind w:left="4" w:right="80" w:firstLine="1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xml:space="preserve">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87" w:lineRule="exact"/>
        <w:rPr>
          <w:sz w:val="20"/>
          <w:szCs w:val="20"/>
          <w:color w:val="auto"/>
        </w:rPr>
      </w:pPr>
    </w:p>
    <w:p>
      <w:pPr>
        <w:ind w:left="4" w:right="20" w:firstLine="1432"/>
        <w:spacing w:after="0" w:line="268" w:lineRule="auto"/>
        <w:rPr>
          <w:sz w:val="20"/>
          <w:szCs w:val="20"/>
          <w:color w:val="auto"/>
        </w:rPr>
      </w:pPr>
      <w:r>
        <w:rPr>
          <w:rFonts w:ascii="Times New Roman" w:cs="Times New Roman" w:eastAsia="Times New Roman" w:hAnsi="Times New Roman"/>
          <w:sz w:val="17"/>
          <w:szCs w:val="17"/>
          <w:color w:val="auto"/>
        </w:rPr>
        <w:t xml:space="preserve">3.3.5 </w:t>
      </w:r>
      <w:r>
        <w:rPr>
          <w:rFonts w:ascii="Times New Roman" w:cs="Times New Roman" w:eastAsia="Times New Roman" w:hAnsi="Times New Roman"/>
          <w:sz w:val="17"/>
          <w:szCs w:val="17"/>
          <w:u w:val="single" w:color="auto"/>
          <w:color w:val="auto"/>
        </w:rPr>
        <w:t>Maximum Percenta</w:t>
      </w:r>
      <w:r>
        <w:rPr>
          <w:rFonts w:ascii="Times New Roman" w:cs="Times New Roman" w:eastAsia="Times New Roman" w:hAnsi="Times New Roman"/>
          <w:sz w:val="17"/>
          <w:szCs w:val="17"/>
          <w:color w:val="auto"/>
        </w:rPr>
        <w:t xml:space="preserve">ge. A holder of a Warrant may notify the Company in writing in the event it elects to be subject to the provisions contained in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no holder of a Warrant shall be subject to this </w:t>
      </w:r>
      <w:r>
        <w:rPr>
          <w:rFonts w:ascii="Times New Roman" w:cs="Times New Roman" w:eastAsia="Times New Roman" w:hAnsi="Times New Roman"/>
          <w:sz w:val="17"/>
          <w:szCs w:val="17"/>
          <w:u w:val="single" w:color="auto"/>
          <w:color w:val="auto"/>
        </w:rPr>
        <w:t>subsection 3.3.5</w:t>
      </w:r>
      <w:r>
        <w:rPr>
          <w:rFonts w:ascii="Times New Roman" w:cs="Times New Roman" w:eastAsia="Times New Roman" w:hAnsi="Times New Roman"/>
          <w:sz w:val="17"/>
          <w:szCs w:val="17"/>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Times New Roman" w:cs="Times New Roman" w:eastAsia="Times New Roman" w:hAnsi="Times New Roman"/>
          <w:sz w:val="17"/>
          <w:szCs w:val="17"/>
          <w:b w:val="1"/>
          <w:bCs w:val="1"/>
          <w:i w:val="1"/>
          <w:iCs w:val="1"/>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Percentage</w:t>
      </w:r>
      <w:r>
        <w:rPr>
          <w:rFonts w:ascii="Times New Roman" w:cs="Times New Roman" w:eastAsia="Times New Roman" w:hAnsi="Times New Roman"/>
          <w:sz w:val="17"/>
          <w:szCs w:val="17"/>
          <w:color w:val="auto"/>
        </w:rPr>
        <w:t>”) of the Ordinary Shares outstanding immediately after giving effect to such exercise. For purposes of the foregoing sentence, the aggregate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w:t>
      </w:r>
    </w:p>
    <w:p>
      <w:pPr>
        <w:ind w:left="4" w:hanging="4"/>
        <w:spacing w:after="0" w:line="251" w:lineRule="auto"/>
        <w:tabs>
          <w:tab w:leader="none" w:pos="25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 (2)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increase shall not be effective until the sixty-first (61st) day after such notice is delivered to the Company.</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230" w:name="page231"/>
    <w:bookmarkEnd w:id="230"/>
    <w:p>
      <w:pPr>
        <w:ind w:left="624" w:hanging="184"/>
        <w:spacing w:after="0"/>
        <w:tabs>
          <w:tab w:leader="none" w:pos="62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Share Capitalizations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1432"/>
        <w:spacing w:after="0" w:line="253"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Split-Ups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below, the number of outstanding Ordinary Shares is increased by a share capitalization payable in Ordinary Shares, or by a split-up of Ordinary Shares or other similar event, then, on the effective date of such share capitalization, split-up or similar event, the number of Ordinary Shares issuable on exercise of each Warrant shall be increased in proportion to such increase in the outstanding Ordinary Shares. A rights offering to holders of the Ordinary Shares entitling holders to purchase Ordinary Shares at a price less than the “Historical Fair Market Value” (as defined below) shall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multiplied by (ii) one (1) minus the quotient of</w:t>
      </w:r>
    </w:p>
    <w:p>
      <w:pPr>
        <w:spacing w:after="0" w:line="3" w:lineRule="exact"/>
        <w:rPr>
          <w:sz w:val="20"/>
          <w:szCs w:val="20"/>
          <w:color w:val="auto"/>
        </w:rPr>
      </w:pPr>
    </w:p>
    <w:p>
      <w:pPr>
        <w:jc w:val="both"/>
        <w:ind w:left="4" w:right="120" w:hanging="4"/>
        <w:spacing w:after="0" w:line="250"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price per Ordinary Share paid in such rights offering divided by (y) the Historical Fair Market Value. For purposes of this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(i)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(ii)</w:t>
      </w:r>
    </w:p>
    <w:p>
      <w:pPr>
        <w:spacing w:after="0" w:line="1" w:lineRule="exact"/>
        <w:rPr>
          <w:rFonts w:ascii="Times New Roman" w:cs="Times New Roman" w:eastAsia="Times New Roman" w:hAnsi="Times New Roman"/>
          <w:sz w:val="18"/>
          <w:szCs w:val="18"/>
          <w:color w:val="auto"/>
        </w:rPr>
      </w:pPr>
    </w:p>
    <w:p>
      <w:pPr>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Fair Market Value” means the volume weighted average price of the Ordinary Shares as reported during the ten (10)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spacing w:after="0" w:line="186" w:lineRule="exact"/>
        <w:rPr>
          <w:sz w:val="20"/>
          <w:szCs w:val="20"/>
          <w:color w:val="auto"/>
        </w:rPr>
      </w:pPr>
    </w:p>
    <w:p>
      <w:pPr>
        <w:ind w:left="4" w:firstLine="1432"/>
        <w:spacing w:after="0" w:line="252"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Extraordinar</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If the Company, at any time while the Warrants are outstanding and unexpired, shall pay a dividend or make a distribution in cash, securities or other assets to the holders of Ordinary Shares on account of such Ordinary Shares (or other shares of the Company’s share capital into which the Warrants are convertible), other than (a) as described in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above, (b) Ordinary Cash Dividends (as defined below), (c) to satisfy the redemption rights of the holders of Ordinary Shares in connection with a proposed initial Business Combination, (d) to satisfy the redemption rights of the holders of Ordinary Shares in connection with a shareholder vote to amend the Company’s amended and restated memorandum and articles of association (as amended from time to time,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 to modify the substance or timing of the Company’s obligation to allow redemption in connection with its initial Business Combination or to redeem 100% of the Ordinary Shares included in the Units sold in the Offering (the “</w:t>
      </w:r>
      <w:r>
        <w:rPr>
          <w:rFonts w:ascii="Times New Roman" w:cs="Times New Roman" w:eastAsia="Times New Roman" w:hAnsi="Times New Roman"/>
          <w:sz w:val="18"/>
          <w:szCs w:val="18"/>
          <w:b w:val="1"/>
          <w:bCs w:val="1"/>
          <w:i w:val="1"/>
          <w:iCs w:val="1"/>
          <w:color w:val="auto"/>
        </w:rPr>
        <w:t>Public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if the Company does not complete the Business Combination within the period set forth in the Charter or (B) with respect to any other material provisions relating to shareholders’ rights or pre-initial Business Combination activity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Times New Roman" w:cs="Times New Roman" w:eastAsia="Times New Roman" w:hAnsi="Times New Roman"/>
          <w:sz w:val="18"/>
          <w:szCs w:val="18"/>
          <w:b w:val="1"/>
          <w:bCs w:val="1"/>
          <w:i w:val="1"/>
          <w:iCs w:val="1"/>
          <w:color w:val="auto"/>
        </w:rPr>
        <w:t>Extraordinary Dividend</w:t>
      </w:r>
      <w:r>
        <w:rPr>
          <w:rFonts w:ascii="Times New Roman" w:cs="Times New Roman" w:eastAsia="Times New Roman" w:hAnsi="Times New Roman"/>
          <w:sz w:val="18"/>
          <w:szCs w:val="18"/>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Times New Roman" w:cs="Times New Roman" w:eastAsia="Times New Roman" w:hAnsi="Times New Roman"/>
          <w:sz w:val="18"/>
          <w:szCs w:val="18"/>
          <w:u w:val="single" w:color="auto"/>
          <w:color w:val="auto"/>
        </w:rPr>
        <w:t>subsection 4.1.2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Ordinary Cash Dividends</w:t>
      </w:r>
      <w:r>
        <w:rPr>
          <w:rFonts w:ascii="Times New Roman" w:cs="Times New Roman" w:eastAsia="Times New Roman" w:hAnsi="Times New Roman"/>
          <w:sz w:val="18"/>
          <w:szCs w:val="18"/>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(as adjusted to appropriately reflect any of the events referred to in other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excluding cash dividends or cash distributions that resulted in an adjustment to the Warrant Price or to the number of Ordinary Shares issuable on exercise of each Warrant) does not exceed $0.50 (being 5% of the offering price of the Units in the Offering) but only with respect to the amount of the aggregate cash dividends or cash distributions equal to or less than $0.50.</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31" w:name="page232"/>
    <w:bookmarkEnd w:id="231"/>
    <w:p>
      <w:pPr>
        <w:ind w:right="14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xml:space="preserve">. If after the date hereof, and subject to the provisions of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Adjustments in Warrant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983"/>
        <w:spacing w:after="0" w:line="281" w:lineRule="auto"/>
        <w:rPr>
          <w:sz w:val="20"/>
          <w:szCs w:val="20"/>
          <w:color w:val="auto"/>
        </w:rPr>
      </w:pPr>
      <w:r>
        <w:rPr>
          <w:rFonts w:ascii="Times New Roman" w:cs="Times New Roman" w:eastAsia="Times New Roman" w:hAnsi="Times New Roman"/>
          <w:sz w:val="17"/>
          <w:szCs w:val="17"/>
          <w:color w:val="auto"/>
        </w:rPr>
        <w:t xml:space="preserve">4.3.1 Whenever the number of Ordinary Shares purchasable upon the exercise of the Warrants is adjusted, as provided in </w:t>
      </w:r>
      <w:r>
        <w:rPr>
          <w:rFonts w:ascii="Times New Roman" w:cs="Times New Roman" w:eastAsia="Times New Roman" w:hAnsi="Times New Roman"/>
          <w:sz w:val="17"/>
          <w:szCs w:val="17"/>
          <w:u w:val="single" w:color="auto"/>
          <w:color w:val="auto"/>
        </w:rPr>
        <w:t>subsection 4.1.1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64" w:lineRule="exact"/>
        <w:rPr>
          <w:sz w:val="20"/>
          <w:szCs w:val="20"/>
          <w:color w:val="auto"/>
        </w:rPr>
      </w:pPr>
    </w:p>
    <w:p>
      <w:pPr>
        <w:ind w:firstLine="1983"/>
        <w:spacing w:after="0" w:line="253" w:lineRule="auto"/>
        <w:rPr>
          <w:sz w:val="20"/>
          <w:szCs w:val="20"/>
          <w:color w:val="auto"/>
        </w:rPr>
      </w:pPr>
      <w:r>
        <w:rPr>
          <w:rFonts w:ascii="Times New Roman" w:cs="Times New Roman" w:eastAsia="Times New Roman" w:hAnsi="Times New Roman"/>
          <w:sz w:val="18"/>
          <w:szCs w:val="18"/>
          <w:color w:val="auto"/>
        </w:rPr>
        <w:t>4.3.2 If (x) the Company issues additional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and, in the case of any such issuance to the initial shareholders (as defined in the Prospectus) or their affiliates, without taking into account any Class B Ordinary Shares (as defined below) held by such shareholders or their affiliates, as applicable, prior to such issuance (the “</w:t>
      </w:r>
      <w:r>
        <w:rPr>
          <w:rFonts w:ascii="Times New Roman" w:cs="Times New Roman" w:eastAsia="Times New Roman" w:hAnsi="Times New Roman"/>
          <w:sz w:val="18"/>
          <w:szCs w:val="18"/>
          <w:b w:val="1"/>
          <w:bCs w:val="1"/>
          <w:i w:val="1"/>
          <w:iCs w:val="1"/>
          <w:color w:val="auto"/>
        </w:rPr>
        <w:t>Newly Issued Price</w:t>
      </w:r>
      <w:r>
        <w:rPr>
          <w:rFonts w:ascii="Times New Roman" w:cs="Times New Roman" w:eastAsia="Times New Roman" w:hAnsi="Times New Roman"/>
          <w:sz w:val="18"/>
          <w:szCs w:val="18"/>
          <w:color w:val="auto"/>
        </w:rPr>
        <w:t>”)), (y) the aggregate gross proceeds from such issuances represent more than 60% of the total equity proceeds, and interest thereon, available for funding the initial Business Combination on the date of the completion of the Company’s initial Business Combination (net of redemptions), and (z) the volume weighted average trading price of the Ordinary Shares during the 20 trading day period starting on the trading day prior to the day on which the Company consummates the Business Combination (such price, the “</w:t>
      </w:r>
      <w:r>
        <w:rPr>
          <w:rFonts w:ascii="Times New Roman" w:cs="Times New Roman" w:eastAsia="Times New Roman" w:hAnsi="Times New Roman"/>
          <w:sz w:val="18"/>
          <w:szCs w:val="18"/>
          <w:b w:val="1"/>
          <w:bCs w:val="1"/>
          <w:i w:val="1"/>
          <w:iCs w:val="1"/>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is below $9.20 per share, the Warrant Price shall be adjusted (to the nearest cent) to be equal to 115% of the higher of the Market Value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Newly Issued Price, and the $18.00 per share redemption trigger price described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shall be adjusted (to the nearest cent) to be equal to 180% of the higher of the Market Value and the Newly Issued Price.</w:t>
      </w:r>
    </w:p>
    <w:p>
      <w:pPr>
        <w:spacing w:after="0" w:line="19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xml:space="preserve"> In case of any reclassification or reorganization of the outstanding Ordinary Shares (other than a change under </w:t>
      </w:r>
      <w:r>
        <w:rPr>
          <w:rFonts w:ascii="Times New Roman" w:cs="Times New Roman" w:eastAsia="Times New Roman" w:hAnsi="Times New Roman"/>
          <w:sz w:val="18"/>
          <w:szCs w:val="18"/>
          <w:u w:val="single" w:color="auto"/>
          <w:color w:val="auto"/>
        </w:rPr>
        <w:t>subsections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or that solely affects the par value of such Ordinary Shares), or in the case of any merger or consolidation of the Company with or into another entity or conversion of the Company as another entity (other than a consolidation or merger in which the Company is the continuing corporation and that does not result in any reclassification or reorganization of the outstanding Ordinary Shares), or in the case of any sale or conveyance to another entity of the assets or other property of the Company as an entirety or substantially as 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32" w:name="page233"/>
    <w:bookmarkEnd w:id="23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entirety in connection with which the Company is dissolved, the holders of the Warrants shall thereafter have the right to purchase and receive, upon the basis and upon the terms and conditions specified in the Warrants and in lieu of the Ordinary Shares of the Company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any reclassification or reorganization also results in a change in Ordinary Shares covered by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then such adjustment shall be made pursuant to </w:t>
      </w:r>
      <w:r>
        <w:rPr>
          <w:rFonts w:ascii="Times New Roman" w:cs="Times New Roman" w:eastAsia="Times New Roman" w:hAnsi="Times New Roman"/>
          <w:sz w:val="18"/>
          <w:szCs w:val="18"/>
          <w:u w:val="single" w:color="auto"/>
          <w:color w:val="auto"/>
        </w:rPr>
        <w:t>subsection 4.1.1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80"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89"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The form of Warrant need not be changed because of any adjustment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case any event shall occur affecting the Company as to which none of the provisions of preceding subsections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strictly applicable, but which would require an adjustment to the terms of the Warrants in order to (i) avoid an adverse impact on the Warrants and (ii)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then, in each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233" w:name="page234"/>
    <w:bookmarkEnd w:id="233"/>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No Adjustment.</w:t>
      </w:r>
      <w:r>
        <w:rPr>
          <w:rFonts w:ascii="Times New Roman" w:cs="Times New Roman" w:eastAsia="Times New Roman" w:hAnsi="Times New Roman"/>
          <w:sz w:val="18"/>
          <w:szCs w:val="18"/>
          <w:color w:val="auto"/>
        </w:rPr>
        <w:t xml:space="preserve"> For the avoidance of doubt, no adjustment shall be made to the terms of the Warrants solely as a result of an adjustment to the conversion ratio of the Company’s Class B ordinary shares (the “</w:t>
      </w:r>
      <w:r>
        <w:rPr>
          <w:rFonts w:ascii="Times New Roman" w:cs="Times New Roman" w:eastAsia="Times New Roman" w:hAnsi="Times New Roman"/>
          <w:sz w:val="18"/>
          <w:szCs w:val="18"/>
          <w:b w:val="1"/>
          <w:bCs w:val="1"/>
          <w:i w:val="1"/>
          <w:iCs w:val="1"/>
          <w:color w:val="auto"/>
        </w:rPr>
        <w:t>Class B Ordinary Shares</w:t>
      </w:r>
      <w:r>
        <w:rPr>
          <w:rFonts w:ascii="Times New Roman" w:cs="Times New Roman" w:eastAsia="Times New Roman" w:hAnsi="Times New Roman"/>
          <w:sz w:val="18"/>
          <w:szCs w:val="18"/>
          <w:color w:val="auto"/>
        </w:rPr>
        <w:t>”) into Ordinary Shares or the conversion of the Class B Ordinary Shares into Ordinary Shares, in each case, pursuant to the Charter.</w:t>
      </w:r>
    </w:p>
    <w:p>
      <w:pPr>
        <w:spacing w:after="0" w:line="176" w:lineRule="exact"/>
        <w:rPr>
          <w:sz w:val="20"/>
          <w:szCs w:val="20"/>
          <w:color w:val="auto"/>
        </w:rPr>
      </w:pPr>
    </w:p>
    <w:p>
      <w:pPr>
        <w:ind w:left="620" w:hanging="184"/>
        <w:spacing w:after="0"/>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xml:space="preserve">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herein or in any Book-Entry Warrant Certificate or Definitive Warrant Certificate, each Book-Entry Warrant Certificate and Definitive Warrant Certificate may be transferred only in whole and only to the Depositary, to another nominee of the Depositary, to a successor depository, or to a nominee of a successor depository;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 Warrant surrendered for transfer bears a restrictive legend (as in the case of the Private Placement Warrants, the Working Capital Warrants and Extension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8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4" w:name="page235"/>
    <w:bookmarkEnd w:id="234"/>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xml:space="preserve">. The Warrant Agent is hereby authorized to countersign and to deliver, in accordance with the terms of this Agreement, the Warrants required to be issued pursuant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the Company, whenever required by the Warrant Agent, shall supply the Warrant Agent with Warrants duly executed on behalf of the Company for such purpose.</w:t>
      </w:r>
    </w:p>
    <w:p>
      <w:pPr>
        <w:spacing w:after="0" w:line="176" w:lineRule="exact"/>
        <w:rPr>
          <w:sz w:val="20"/>
          <w:szCs w:val="20"/>
          <w:color w:val="auto"/>
        </w:rPr>
      </w:pPr>
    </w:p>
    <w:p>
      <w:pPr>
        <w:jc w:val="both"/>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have no effect on any transfer of Warrants on and after the Detachment Date.</w:t>
      </w:r>
    </w:p>
    <w:p>
      <w:pPr>
        <w:spacing w:after="0" w:line="180" w:lineRule="exact"/>
        <w:rPr>
          <w:sz w:val="20"/>
          <w:szCs w:val="20"/>
          <w:color w:val="auto"/>
        </w:rPr>
      </w:pPr>
    </w:p>
    <w:p>
      <w:pPr>
        <w:ind w:left="620" w:hanging="184"/>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 of Public Warrants.</w:t>
      </w:r>
      <w:r>
        <w:rPr>
          <w:rFonts w:ascii="Times New Roman" w:cs="Times New Roman" w:eastAsia="Times New Roman" w:hAnsi="Times New Roman"/>
          <w:sz w:val="18"/>
          <w:szCs w:val="18"/>
          <w:color w:val="auto"/>
        </w:rPr>
        <w:t xml:space="preserve"> Not less than all of the outstanding Warrants may be redeemed, at the option of the Company, at any time while they are exercisable and prior to their expiration, at the office of the Warrant Agent, upon notice to the Registered Holders of the Warrants, as described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 at a Redemption Price of $0.01 per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Reference Value (as defined below) equals or exceeds $18.00 per share (subject to adjustment in compliance with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and (b) there is an effective registration statement covering the issuance of the Ordinary Shares issuable upon exercise of the Warrants, and a current prospectus relating thereto, available throughout the 30-day Redemption Period (as defined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below).</w:t>
      </w:r>
    </w:p>
    <w:p>
      <w:pPr>
        <w:spacing w:after="0" w:line="18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 Redemption Price; Reference Value</w:t>
      </w:r>
      <w:r>
        <w:rPr>
          <w:rFonts w:ascii="Times New Roman" w:cs="Times New Roman" w:eastAsia="Times New Roman" w:hAnsi="Times New Roman"/>
          <w:sz w:val="18"/>
          <w:szCs w:val="18"/>
          <w:color w:val="auto"/>
        </w:rPr>
        <w:t xml:space="preserve">. In the event that the Company elects to redeem the Warrants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shall fix a date for the redemption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(such period, the “</w:t>
      </w:r>
      <w:r>
        <w:rPr>
          <w:rFonts w:ascii="Times New Roman" w:cs="Times New Roman" w:eastAsia="Times New Roman" w:hAnsi="Times New Roman"/>
          <w:sz w:val="18"/>
          <w:szCs w:val="18"/>
          <w:b w:val="1"/>
          <w:bCs w:val="1"/>
          <w:i w:val="1"/>
          <w:iCs w:val="1"/>
          <w:color w:val="auto"/>
        </w:rPr>
        <w:t>30-day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to the Registered Holders of the Warrants to be redeemed at their last addresses as they shall appear on the registration books. Any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mailed in the manner herein provided shall be conclusively presumed to have been duly given whether or not the Registered Holder received such notice. As used in this Agreement, (a)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xml:space="preserve">” shall mean the price per Warrant at which any Warrants are redeemed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(b) “</w:t>
      </w:r>
      <w:r>
        <w:rPr>
          <w:rFonts w:ascii="Times New Roman" w:cs="Times New Roman" w:eastAsia="Times New Roman" w:hAnsi="Times New Roman"/>
          <w:sz w:val="18"/>
          <w:szCs w:val="18"/>
          <w:b w:val="1"/>
          <w:bCs w:val="1"/>
          <w:i w:val="1"/>
          <w:iCs w:val="1"/>
          <w:color w:val="auto"/>
        </w:rPr>
        <w:t>Reference Value</w:t>
      </w:r>
      <w:r>
        <w:rPr>
          <w:rFonts w:ascii="Times New Roman" w:cs="Times New Roman" w:eastAsia="Times New Roman" w:hAnsi="Times New Roman"/>
          <w:sz w:val="18"/>
          <w:szCs w:val="18"/>
          <w:color w:val="auto"/>
        </w:rPr>
        <w:t>” shall mean the closing price of the Ordinary Shares for any twenty (20) trading days within the thirty (30) trading-day period ending on the third trading day prior to the date on which notice of the redemption is given.</w:t>
      </w:r>
    </w:p>
    <w:p>
      <w:pPr>
        <w:spacing w:after="0" w:line="19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xml:space="preserve">. The Warrants may be exercised, for cash (or on a “cashless basis” pursuant to </w:t>
      </w:r>
      <w:r>
        <w:rPr>
          <w:rFonts w:ascii="Times New Roman" w:cs="Times New Roman" w:eastAsia="Times New Roman" w:hAnsi="Times New Roman"/>
          <w:sz w:val="18"/>
          <w:szCs w:val="18"/>
          <w:u w:val="single" w:color="auto"/>
          <w:color w:val="auto"/>
        </w:rPr>
        <w:t>Section 3.3.1(b)</w:t>
      </w:r>
      <w:r>
        <w:rPr>
          <w:rFonts w:ascii="Times New Roman" w:cs="Times New Roman" w:eastAsia="Times New Roman" w:hAnsi="Times New Roman"/>
          <w:sz w:val="18"/>
          <w:szCs w:val="18"/>
          <w:color w:val="auto"/>
        </w:rPr>
        <w:t xml:space="preserve"> of this Agreement, if applicable) at any time after notice of redemption shall have been given by the Company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hereof and prior to the Redemption Date. In the event that the Company determines to require all holders of Warrants to exercise their Warrants on a “cashless basis” pursuant to </w:t>
      </w:r>
      <w:r>
        <w:rPr>
          <w:rFonts w:ascii="Times New Roman" w:cs="Times New Roman" w:eastAsia="Times New Roman" w:hAnsi="Times New Roman"/>
          <w:sz w:val="18"/>
          <w:szCs w:val="18"/>
          <w:u w:val="single" w:color="auto"/>
          <w:color w:val="auto"/>
        </w:rPr>
        <w:t>subsection 3.3.1(b)</w:t>
      </w:r>
      <w:r>
        <w:rPr>
          <w:rFonts w:ascii="Times New Roman" w:cs="Times New Roman" w:eastAsia="Times New Roman" w:hAnsi="Times New Roman"/>
          <w:sz w:val="18"/>
          <w:szCs w:val="18"/>
          <w:color w:val="auto"/>
        </w:rPr>
        <w:t xml:space="preserve"> hereof, the notice of redemption shall contain instructions on how to calculate the number of Ordinary Shares to be received upon exercise of the Warrants.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5" w:name="page236"/>
    <w:bookmarkEnd w:id="235"/>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and after the Redemption Date, the record holder of the Warrants shall have no further rights except to receive, upon surrender of the Warrants, the Redemption Price.</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Exclusion of Private Placement Warrants, Working Capital Warrants, Extension Warrants and Post-IPO Warrants</w:t>
      </w:r>
      <w:r>
        <w:rPr>
          <w:rFonts w:ascii="Times New Roman" w:cs="Times New Roman" w:eastAsia="Times New Roman" w:hAnsi="Times New Roman"/>
          <w:sz w:val="18"/>
          <w:szCs w:val="18"/>
          <w:color w:val="auto"/>
        </w:rPr>
        <w:t xml:space="preserve">. The Company agrees that the redemption rights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shall not apply to the Private Placement Warrants, Working Capital Warrants, Extension Warrants or Post-IPO Warrants (if such Post-IPO Warrants provide that they are non-redeemable by the Company).</w:t>
      </w:r>
    </w:p>
    <w:p>
      <w:pPr>
        <w:spacing w:after="0" w:line="176" w:lineRule="exact"/>
        <w:rPr>
          <w:sz w:val="20"/>
          <w:szCs w:val="20"/>
          <w:color w:val="auto"/>
        </w:rPr>
      </w:pPr>
    </w:p>
    <w:p>
      <w:pPr>
        <w:ind w:left="624" w:hanging="184"/>
        <w:spacing w:after="0"/>
        <w:tabs>
          <w:tab w:leader="none" w:pos="62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Shareholder</w:t>
      </w:r>
      <w:r>
        <w:rPr>
          <w:rFonts w:ascii="Times New Roman" w:cs="Times New Roman" w:eastAsia="Times New Roman" w:hAnsi="Times New Roman"/>
          <w:sz w:val="18"/>
          <w:szCs w:val="18"/>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general meeting or the appointment of directors of the Company or any other matter.</w:t>
      </w:r>
    </w:p>
    <w:p>
      <w:pPr>
        <w:spacing w:after="0" w:line="176" w:lineRule="exact"/>
        <w:rPr>
          <w:sz w:val="20"/>
          <w:szCs w:val="20"/>
          <w:color w:val="auto"/>
        </w:rPr>
      </w:pPr>
    </w:p>
    <w:p>
      <w:pPr>
        <w:ind w:left="4"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Ordinary Shares; Cashless Exercise at Company’s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7.4.1 Reg</w:t>
      </w:r>
      <w:r>
        <w:rPr>
          <w:rFonts w:ascii="Times New Roman" w:cs="Times New Roman" w:eastAsia="Times New Roman" w:hAnsi="Times New Roman"/>
          <w:sz w:val="18"/>
          <w:szCs w:val="18"/>
          <w:u w:val="single" w:color="auto"/>
          <w:color w:val="auto"/>
        </w:rPr>
        <w:t>istration of the Ordinar</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Company agrees that as soon as practicable, but in no event later than fifteen</w:t>
      </w:r>
    </w:p>
    <w:p>
      <w:pPr>
        <w:spacing w:after="0" w:line="27" w:lineRule="exact"/>
        <w:rPr>
          <w:sz w:val="20"/>
          <w:szCs w:val="20"/>
          <w:color w:val="auto"/>
        </w:rPr>
      </w:pPr>
    </w:p>
    <w:p>
      <w:pPr>
        <w:ind w:left="4" w:right="20" w:hanging="4"/>
        <w:spacing w:after="0" w:line="251" w:lineRule="auto"/>
        <w:tabs>
          <w:tab w:leader="none" w:pos="34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of its initial Business Combination, it shall use its commercially reasonable efforts to file with the Commission a post-effective amendment to the registration statement relating to the Offering or a new registration statement registering, under the Securities Act, the issuance of the Ordinary Shares issuable upon exercise of the Warrants. The Company shall use its commercially reasonable efforts to cause the same to become effective within 60 Business Days after the closing of its Business Combination and to maintain the effectiveness of such registration statement, and a current prospectus relating thereto, until the expiration or redemption of the Warrants in accordance with the provisions of this Agreement. If any such registration statement has not been declared effective by the 60th Business Day following the closing of the Business Combination, holders of the Warrants shall have the right, during the period beginning on the 61st Business Day after the closing of the Business Combination and ending upon such registration statement being declared effective by the Commission, and during any other period when the Company shall fail to have maintained an effective registration statement covering the issuance of the Ordinary Shares issuable upon exercise of the Warrants, to exercise such Warrants on a “cashless basis,” pursuant</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36" w:name="page237"/>
    <w:bookmarkEnd w:id="236"/>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w:t>
      </w:r>
      <w:r>
        <w:rPr>
          <w:rFonts w:ascii="Times New Roman" w:cs="Times New Roman" w:eastAsia="Times New Roman" w:hAnsi="Times New Roman"/>
          <w:sz w:val="17"/>
          <w:szCs w:val="17"/>
          <w:u w:val="single" w:color="auto"/>
          <w:color w:val="auto"/>
        </w:rPr>
        <w:t>subsection 3.3.1</w:t>
      </w:r>
      <w:r>
        <w:rPr>
          <w:rFonts w:ascii="Times New Roman" w:cs="Times New Roman" w:eastAsia="Times New Roman" w:hAnsi="Times New Roman"/>
          <w:sz w:val="17"/>
          <w:szCs w:val="17"/>
          <w:color w:val="auto"/>
        </w:rPr>
        <w:t xml:space="preserve">, by exchanging the Warrants (in accordance with Section 3(a)(9) of the Securities Act (or any successor rule) or another exemption) for that number of Ordinary Shares equal to the quotient obtained by dividing (x) the product of the number of Ordinary Shares underlying the Warrants, multiplied by the difference between the Warrant Price and the “Fair Market Value”, as defined in this </w:t>
      </w:r>
      <w:r>
        <w:rPr>
          <w:rFonts w:ascii="Times New Roman" w:cs="Times New Roman" w:eastAsia="Times New Roman" w:hAnsi="Times New Roman"/>
          <w:sz w:val="17"/>
          <w:szCs w:val="17"/>
          <w:u w:val="single" w:color="auto"/>
          <w:color w:val="auto"/>
        </w:rPr>
        <w:t>subsection 7.4.1</w:t>
      </w:r>
      <w:r>
        <w:rPr>
          <w:rFonts w:ascii="Times New Roman" w:cs="Times New Roman" w:eastAsia="Times New Roman" w:hAnsi="Times New Roman"/>
          <w:sz w:val="17"/>
          <w:szCs w:val="17"/>
          <w:color w:val="auto"/>
        </w:rPr>
        <w:t xml:space="preserve"> by (y) the Fair Market Value. Solely for purposes of this </w:t>
      </w:r>
      <w:r>
        <w:rPr>
          <w:rFonts w:ascii="Times New Roman" w:cs="Times New Roman" w:eastAsia="Times New Roman" w:hAnsi="Times New Roman"/>
          <w:sz w:val="17"/>
          <w:szCs w:val="17"/>
          <w:u w:val="single" w:color="auto"/>
          <w:color w:val="auto"/>
        </w:rPr>
        <w:t>subsection 7.4.1</w:t>
      </w:r>
      <w:r>
        <w:rPr>
          <w:rFonts w:ascii="Times New Roman" w:cs="Times New Roman" w:eastAsia="Times New Roman" w:hAnsi="Times New Roman"/>
          <w:sz w:val="17"/>
          <w:szCs w:val="17"/>
          <w:color w:val="auto"/>
        </w:rPr>
        <w:t>, “Fair Market Value” shall mean the average last reported sale price of the Ordinary Shares for the ten</w:t>
      </w:r>
    </w:p>
    <w:p>
      <w:pPr>
        <w:spacing w:after="0" w:line="3" w:lineRule="exact"/>
        <w:rPr>
          <w:sz w:val="20"/>
          <w:szCs w:val="20"/>
          <w:color w:val="auto"/>
        </w:rPr>
      </w:pPr>
    </w:p>
    <w:p>
      <w:pPr>
        <w:ind w:left="4" w:right="20" w:hanging="4"/>
        <w:spacing w:after="0" w:line="251" w:lineRule="auto"/>
        <w:tabs>
          <w:tab w:leader="none" w:pos="3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 w:cs="Times New Roman" w:eastAsia="Times New Roman" w:hAnsi="Times New Roman"/>
          <w:sz w:val="18"/>
          <w:szCs w:val="18"/>
          <w:u w:val="single" w:color="auto"/>
          <w:color w:val="auto"/>
        </w:rPr>
        <w:t>subsection 7.4.1</w:t>
      </w:r>
      <w:r>
        <w:rPr>
          <w:rFonts w:ascii="Times New Roman" w:cs="Times New Roman" w:eastAsia="Times New Roman" w:hAnsi="Times New Roman"/>
          <w:sz w:val="18"/>
          <w:szCs w:val="18"/>
          <w:color w:val="auto"/>
        </w:rPr>
        <w:t xml:space="preserve"> is not required to be registered under the Securities Act and (ii) the Ordinary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Times New Roman" w:cs="Times New Roman" w:eastAsia="Times New Roman" w:hAnsi="Times New Roman"/>
          <w:sz w:val="18"/>
          <w:szCs w:val="18"/>
          <w:u w:val="single" w:color="auto"/>
          <w:color w:val="auto"/>
        </w:rPr>
        <w:t>subsection 7.4.2</w:t>
      </w:r>
      <w:r>
        <w:rPr>
          <w:rFonts w:ascii="Times New Roman" w:cs="Times New Roman" w:eastAsia="Times New Roman" w:hAnsi="Times New Roman"/>
          <w:sz w:val="18"/>
          <w:szCs w:val="18"/>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Times New Roman" w:cs="Times New Roman" w:eastAsia="Times New Roman" w:hAnsi="Times New Roman"/>
          <w:sz w:val="18"/>
          <w:szCs w:val="18"/>
          <w:u w:val="single" w:color="auto"/>
          <w:color w:val="auto"/>
        </w:rPr>
        <w:t>subsection 7.4.1.</w:t>
      </w:r>
    </w:p>
    <w:p>
      <w:pPr>
        <w:spacing w:after="0" w:line="193" w:lineRule="exact"/>
        <w:rPr>
          <w:sz w:val="20"/>
          <w:szCs w:val="20"/>
          <w:color w:val="auto"/>
        </w:rPr>
      </w:pPr>
    </w:p>
    <w:p>
      <w:pPr>
        <w:ind w:left="4" w:right="80" w:firstLine="1432"/>
        <w:spacing w:after="0" w:line="272" w:lineRule="auto"/>
        <w:rPr>
          <w:sz w:val="20"/>
          <w:szCs w:val="20"/>
          <w:color w:val="auto"/>
        </w:rPr>
      </w:pPr>
      <w:r>
        <w:rPr>
          <w:rFonts w:ascii="Times New Roman" w:cs="Times New Roman" w:eastAsia="Times New Roman" w:hAnsi="Times New Roman"/>
          <w:sz w:val="17"/>
          <w:szCs w:val="17"/>
          <w:color w:val="auto"/>
        </w:rPr>
        <w:t xml:space="preserve">7.4.2 </w:t>
      </w:r>
      <w:r>
        <w:rPr>
          <w:rFonts w:ascii="Times New Roman" w:cs="Times New Roman" w:eastAsia="Times New Roman" w:hAnsi="Times New Roman"/>
          <w:sz w:val="17"/>
          <w:szCs w:val="17"/>
          <w:u w:val="single" w:color="auto"/>
          <w:color w:val="auto"/>
        </w:rPr>
        <w:t>Cashless Exercise at Compan</w:t>
      </w:r>
      <w:r>
        <w:rPr>
          <w:rFonts w:ascii="Times New Roman" w:cs="Times New Roman" w:eastAsia="Times New Roman" w:hAnsi="Times New Roman"/>
          <w:sz w:val="17"/>
          <w:szCs w:val="17"/>
          <w:color w:val="auto"/>
        </w:rPr>
        <w:t>y</w:t>
      </w:r>
      <w:r>
        <w:rPr>
          <w:rFonts w:ascii="Times New Roman" w:cs="Times New Roman" w:eastAsia="Times New Roman" w:hAnsi="Times New Roman"/>
          <w:sz w:val="17"/>
          <w:szCs w:val="17"/>
          <w:u w:val="single" w:color="auto"/>
          <w:color w:val="auto"/>
        </w:rPr>
        <w:t>’s Option</w:t>
      </w:r>
      <w:r>
        <w:rPr>
          <w:rFonts w:ascii="Times New Roman" w:cs="Times New Roman" w:eastAsia="Times New Roman" w:hAnsi="Times New Roman"/>
          <w:sz w:val="17"/>
          <w:szCs w:val="17"/>
          <w:color w:val="auto"/>
        </w:rPr>
        <w:t xml:space="preserve">. If the Ordinary Shares are at the time of any exercise of a Warrant not listed on a national securities exchange such that they satisfy the definition of “covered securities”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Times New Roman" w:cs="Times New Roman" w:eastAsia="Times New Roman" w:hAnsi="Times New Roman"/>
          <w:sz w:val="17"/>
          <w:szCs w:val="17"/>
          <w:u w:val="single" w:color="auto"/>
          <w:color w:val="auto"/>
        </w:rPr>
        <w:t>subsection 7.4.1</w:t>
      </w:r>
      <w:r>
        <w:rPr>
          <w:rFonts w:ascii="Times New Roman" w:cs="Times New Roman" w:eastAsia="Times New Roman" w:hAnsi="Times New Roman"/>
          <w:sz w:val="17"/>
          <w:szCs w:val="17"/>
          <w:color w:val="auto"/>
        </w:rPr>
        <w:t xml:space="preserve"> and (i)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or (ii) if the Company does not so elect, the Company agrees to use its commercially reasonable efforts to register or qualify for sale the Ordinary Shares issuable upon exercise of the Public Warrants under the blue sky laws of the state of residence of the exercising Public Warrant holder to the extent an exemption is not available.</w:t>
      </w:r>
    </w:p>
    <w:p>
      <w:pPr>
        <w:spacing w:after="0" w:line="172" w:lineRule="exact"/>
        <w:rPr>
          <w:sz w:val="20"/>
          <w:szCs w:val="20"/>
          <w:color w:val="auto"/>
        </w:rPr>
      </w:pPr>
    </w:p>
    <w:p>
      <w:pPr>
        <w:ind w:left="624" w:hanging="184"/>
        <w:spacing w:after="0"/>
        <w:tabs>
          <w:tab w:leader="none" w:pos="6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Ordinary Shares.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37" w:name="page238"/>
    <w:bookmarkEnd w:id="2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432"/>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5" w:lineRule="exact"/>
        <w:rPr>
          <w:sz w:val="20"/>
          <w:szCs w:val="20"/>
          <w:color w:val="auto"/>
        </w:rPr>
      </w:pPr>
    </w:p>
    <w:p>
      <w:pPr>
        <w:ind w:right="60" w:firstLine="1432"/>
        <w:spacing w:after="0" w:line="312" w:lineRule="auto"/>
        <w:rPr>
          <w:sz w:val="20"/>
          <w:szCs w:val="20"/>
          <w:color w:val="auto"/>
        </w:rPr>
      </w:pPr>
      <w:r>
        <w:rPr>
          <w:rFonts w:ascii="Times New Roman" w:cs="Times New Roman" w:eastAsia="Times New Roman" w:hAnsi="Times New Roman"/>
          <w:sz w:val="17"/>
          <w:szCs w:val="17"/>
          <w:color w:val="auto"/>
        </w:rPr>
        <w:t xml:space="preserve">8.2.2 </w:t>
      </w:r>
      <w:r>
        <w:rPr>
          <w:rFonts w:ascii="Times New Roman" w:cs="Times New Roman" w:eastAsia="Times New Roman" w:hAnsi="Times New Roman"/>
          <w:sz w:val="17"/>
          <w:szCs w:val="17"/>
          <w:u w:val="single" w:color="auto"/>
          <w:color w:val="auto"/>
        </w:rPr>
        <w:t>Notice of Successor Warrant A</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ent.</w:t>
      </w:r>
      <w:r>
        <w:rPr>
          <w:rFonts w:ascii="Times New Roman" w:cs="Times New Roman" w:eastAsia="Times New Roman" w:hAnsi="Times New Roman"/>
          <w:sz w:val="17"/>
          <w:szCs w:val="17"/>
          <w:color w:val="auto"/>
        </w:rPr>
        <w:t xml:space="preserve"> In the event a successor Warrant Agent shall be appointed, the Company shall give notice thereof to the predecessor Warrant Agent and the Transfer Agent for the Ordinary Shares not later than the effective date of any such appointment.</w:t>
      </w:r>
    </w:p>
    <w:p>
      <w:pPr>
        <w:spacing w:after="0" w:line="140" w:lineRule="exact"/>
        <w:rPr>
          <w:sz w:val="20"/>
          <w:szCs w:val="20"/>
          <w:color w:val="auto"/>
        </w:rPr>
      </w:pPr>
    </w:p>
    <w:p>
      <w:pPr>
        <w:jc w:val="both"/>
        <w:ind w:right="2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 or Consolidation of Warrant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w:t>
      </w:r>
      <w:r>
        <w:rPr>
          <w:rFonts w:ascii="Times New Roman" w:cs="Times New Roman" w:eastAsia="Times New Roman" w:hAnsi="Times New Roman"/>
          <w:sz w:val="18"/>
          <w:szCs w:val="18"/>
          <w:color w:val="auto"/>
        </w:rPr>
        <w:t xml:space="preserve">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xml:space="preserve">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176" w:lineRule="exact"/>
        <w:rPr>
          <w:sz w:val="20"/>
          <w:szCs w:val="20"/>
          <w:color w:val="auto"/>
        </w:rPr>
      </w:pPr>
    </w:p>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38" w:name="page239"/>
    <w:bookmarkEnd w:id="2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President, Executive Vice President, Vice President, Secretary or Chairman of the Board of the Company and delivered to the Warrant Agent. The Warrant Agent may rely upon such statement for any action taken or suffered in good faith by it pursuant to the provisions of this Agreement.</w:t>
      </w:r>
    </w:p>
    <w:p>
      <w:pPr>
        <w:spacing w:after="0" w:line="187"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w:t>
      </w:r>
      <w:r>
        <w:rPr>
          <w:rFonts w:ascii="Times New Roman" w:cs="Times New Roman" w:eastAsia="Times New Roman" w:hAnsi="Times New Roman"/>
          <w:sz w:val="18"/>
          <w:szCs w:val="18"/>
          <w:color w:val="auto"/>
        </w:rPr>
        <w:t>y.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80" w:lineRule="exact"/>
        <w:rPr>
          <w:sz w:val="20"/>
          <w:szCs w:val="20"/>
          <w:color w:val="auto"/>
        </w:rPr>
      </w:pPr>
    </w:p>
    <w:p>
      <w:pPr>
        <w:ind w:right="2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76"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The Warrant Agent has no right of set-off or any other right, title, interest or claim of any kind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3" w:lineRule="exact"/>
        <w:rPr>
          <w:sz w:val="20"/>
          <w:szCs w:val="20"/>
          <w:color w:val="auto"/>
        </w:rPr>
      </w:pPr>
    </w:p>
    <w:p>
      <w:pPr>
        <w:ind w:left="620" w:hanging="184"/>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All the covenants and provisions of this Agreement by or for the benefit of the Company or the Warrant Agent shall bind and inure to the benefit of their respective successors and assigns.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39" w:name="page240"/>
    <w:bookmarkEnd w:id="23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Ares Management LLC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245 Park Avenue, 44th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GeneralCounsel@aresmgmt.com</w:t>
      </w:r>
    </w:p>
    <w:p>
      <w:pPr>
        <w:spacing w:after="0" w:line="207"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(5) days after deposit of such notice, postage prepaid, addressed (until another address is filed in writing by the Warrant Agent with the Company), as follows: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Compliance Department</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2049 Century Park East, 37th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Monica J. Shilling, P.C.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Philippa Bond, P.C.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 Thomas Felix,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monica.shilling@kirkland.com</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pippa.bond@kirkland.com</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tommy.felix@kirkland.com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Christian Nagler, Esq.</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Tamar Donikyan,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cnagler@kirkland.com</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tamar.donikyan@kirkland.com</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40" w:name="page241"/>
    <w:bookmarkEnd w:id="24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Number: 1-646-291-5209</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Pavan Bellur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pavan.bellur@citi.com</w:t>
      </w:r>
    </w:p>
    <w:p>
      <w:pPr>
        <w:spacing w:after="0" w:line="207"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and Exclusive Forum</w:t>
      </w:r>
      <w:r>
        <w:rPr>
          <w:rFonts w:ascii="Times New Roman" w:cs="Times New Roman" w:eastAsia="Times New Roman" w:hAnsi="Times New Roman"/>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Warrants shall be deemed to have notice of and to have consented to the forum provisions in this Agreement. If any action, the subject matter of which is within the scope of the forum provisions of this Agreement, is filed in a court other than a court of the State of New York or the United States District Court for the Southern District of New York (a “foreign action”) in the name of any holder of the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xml:space="preserve">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3"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xml:space="preserve">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76"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xml:space="preserve"> This Agreement may be executed in any number of original or facsimile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41" w:name="page242"/>
    <w:bookmarkEnd w:id="241"/>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headings herein are for convenience only and are not part of this Agreement and shall not affect the interpretation thereof.</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Agreement may be amended by the parties hereto without the consent of any Registered Holder for the purpose of curing any ambiguity, or curing, correcting or supplementing any defective provision contained herein, including to conform the provisions hereof to the description of the terms of the Warrants and this Agreement set forth in the Prospectus,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modification or amendment to increase the Warrant Price or shorten the Exercise Period shall require the vote or written consent of the Registered Holders of at least a majority of the number of the then outstanding Public Warrants and, solely with respect to any amendment to the terms of the Private Placement Warrants, Working Capital Warrants, Extension Warrants or Post IPO Warrants or any provision of this Agreement with respect to the Private Placement Warrants, Working Capital Warrants, Extension Warrants or Post IPO Warrants, at least a majority of the number of then outstanding Private Placement Warrants, Working Capital Warrants, Extension Warrants or Post IPO Warrants. Notwithstanding the foregoing, the Company may lower the Warrant Price or extend the duration of the Exercise Period pursuant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respectively, without the consent of the Registered Holders.</w:t>
      </w:r>
    </w:p>
    <w:p>
      <w:pPr>
        <w:spacing w:after="0" w:line="19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ARES ACQUISITION CORPORATION II</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B. Kaplan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TRUST COMPANY, as Warrant Agent</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w:t>
      </w:r>
    </w:p>
    <w:p>
      <w:pPr>
        <w:spacing w:after="0" w:line="229"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SECURITIES REPRESENTED HEREBY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AGREEMENTS BY AND AMONG ARES ACQUISITION CORPORATION II (THE “COMPANY”), ARES ACQUISITION HOLDINGS II LP AND THE OTHER SIGNATORIES THERETO, THE SECURITIES REPRESENTED BY THIS CERTIFICATE MAY NOT BE SOLD OR TRANSFERRED PRIOR TO THE DATE THAT IS THIRTY (30) DAYS AFTER THE DATE UPON WHICH THE COMPANY COMPLETES ITS INITIAL BUSINESS COMBINATION (AS DEFINED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WARRANT AGREEMENT REFERRED TO HEREIN) EXCEPT TO A PERMITTED TRANSFEREE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WARRANT AGREEMENT) WHO AGREES IN WRITING WITH THE COMPANY TO BE SUBJECT TO SUCH TRANSFER PROVISIONS.</w:t>
      </w:r>
    </w:p>
    <w:p>
      <w:pPr>
        <w:spacing w:after="0" w:line="19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SECURITIES EVIDENCED HEREBY AND ORDINARY SHARES OF THE COMPANY ISSUED UPON EXERCISE OF SUCH SECURITIES SHALL BE ENTITLED TO REGISTRATION RIGHTS UNDER A REGISTRATION RIGHTS AGREEMENT TO BE EXECUTED BY THE COMPANY.</w:t>
      </w:r>
    </w:p>
    <w:p>
      <w:pPr>
        <w:sectPr>
          <w:pgSz w:w="11900" w:h="16838" w:orient="portrait"/>
          <w:cols w:equalWidth="0" w:num="1">
            <w:col w:w="11000"/>
          </w:cols>
          <w:pgMar w:left="440" w:top="266" w:right="45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THIS WARRANT SHALL BE VOID IF NOT EXERCISED PRIOR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EXPIRATION OF THE EXERCISE PERIOD PROVIDED FOR IN THE WARRANT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DESCRIBED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ARES ACQUISITION CORPORATION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03"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b w:val="1"/>
          <w:bCs w:val="1"/>
          <w:color w:val="auto"/>
        </w:rPr>
        <w:t>CUSIP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w:t>
      </w:r>
    </w:p>
    <w:p>
      <w:pPr>
        <w:spacing w:after="0" w:line="225" w:lineRule="exact"/>
        <w:rPr>
          <w:sz w:val="20"/>
          <w:szCs w:val="20"/>
          <w:color w:val="auto"/>
        </w:rPr>
      </w:pPr>
    </w:p>
    <w:p>
      <w:pPr>
        <w:ind w:left="44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This Warrant Certificate certifies that</w:t>
      </w:r>
      <w:r>
        <w:rPr>
          <w:sz w:val="20"/>
          <w:szCs w:val="20"/>
          <w:color w:val="auto"/>
        </w:rPr>
        <w:tab/>
      </w:r>
      <w:r>
        <w:rPr>
          <w:rFonts w:ascii="Times New Roman" w:cs="Times New Roman" w:eastAsia="Times New Roman" w:hAnsi="Times New Roman"/>
          <w:sz w:val="17"/>
          <w:szCs w:val="17"/>
          <w:color w:val="auto"/>
        </w:rPr>
        <w:t xml:space="preserve">, or registered assigns, is the registered holder of warrants evidenced hereby (the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xml:space="preserve"> and</w:t>
      </w:r>
    </w:p>
    <w:p>
      <w:pPr>
        <w:spacing w:after="0" w:line="3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 xml:space="preserve">each, a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xml:space="preserve">) to purchase Class A Ordinary Shares, $0.0001 par value per share (the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of Ares Acquisition Corporation II, a Cayman Islands exempted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Each Warrant entitles the holder, upon exercise during the Exercise Period set forth in the Warrant Agreement referred to below, to receive from the Company that number of fully paid and non-assessable Ordinary Shares as set forth below, at the exercise price (the “</w:t>
      </w:r>
      <w:r>
        <w:rPr>
          <w:rFonts w:ascii="Times New Roman" w:cs="Times New Roman" w:eastAsia="Times New Roman" w:hAnsi="Times New Roman"/>
          <w:sz w:val="17"/>
          <w:szCs w:val="17"/>
          <w:b w:val="1"/>
          <w:bCs w:val="1"/>
          <w:color w:val="auto"/>
        </w:rPr>
        <w:t>Warrant Price</w:t>
      </w:r>
      <w:r>
        <w:rPr>
          <w:rFonts w:ascii="Times New Roman" w:cs="Times New Roman" w:eastAsia="Times New Roman" w:hAnsi="Times New Roman"/>
          <w:sz w:val="17"/>
          <w:szCs w:val="17"/>
          <w:color w:val="auto"/>
        </w:rPr>
        <w:t>”) as determined pursuant to the Warrant Agreement, payable in US dollars, by bank wire or certified check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6"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6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initial Warrant Price per Ordinary Share for any Warrant is equal to $11.50 per share. The Warrant Price is subject to adjustment upon the occurrence of certain events set forth in the Warrant Agreement.</w:t>
      </w:r>
    </w:p>
    <w:p>
      <w:pPr>
        <w:sectPr>
          <w:pgSz w:w="11900" w:h="16838" w:orient="portrait"/>
          <w:cols w:equalWidth="0" w:num="1">
            <w:col w:w="11020"/>
          </w:cols>
          <w:pgMar w:left="440" w:top="266" w:right="439" w:bottom="1440" w:gutter="0" w:footer="0" w:header="0"/>
        </w:sectPr>
      </w:pPr>
    </w:p>
    <w:bookmarkStart w:id="245" w:name="page246"/>
    <w:bookmarkEnd w:id="24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conditions set forth in the Warrant Agreement, the Warrants may be exercised only during the Exercise Period and to the extent not exercised by the end of such Exercise Period, such Warrants shall become void.</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not be valid unless countersigned by the Warrant Agent, as such term is used in the Warrant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ARES ACQUISITION CORPORATION II</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COMPANY, as Warrant Agent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00"/>
          </w:cols>
          <w:pgMar w:left="440" w:top="270" w:right="559" w:bottom="1440" w:gutter="0" w:footer="0" w:header="0"/>
        </w:sectPr>
      </w:pPr>
    </w:p>
    <w:bookmarkStart w:id="246" w:name="page247"/>
    <w:bookmarkEnd w:id="246"/>
    <w:p>
      <w:pPr>
        <w:jc w:val="center"/>
        <w:ind w:right="-10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Warrant Certificate]</w:t>
      </w:r>
    </w:p>
    <w:p>
      <w:pPr>
        <w:spacing w:after="0" w:line="11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[Reverse]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Warrants evidenced by this Warrant Certificate are part of a duly authorized issue of Warrants entitling the holder on exercise to receive</w:t>
      </w:r>
    </w:p>
    <w:p>
      <w:pPr>
        <w:spacing w:after="0" w:line="2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Ordinary Shares and are issued or to be issued pursuant to a Warrant Agreement dated as of , 2023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xml:space="preserve">), duly executed and delivered by the Company to Continental Stock Transfer &amp; Trust Company, a New York corporation, as warrant agent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Warrant Agreement is hereby incorporated by reference in and made a part of this instrument and is hereby referred to for a description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rights, limitation of rights, obligations, duties and immunities thereunder of the Warrant Agent, the Company and the holders (the words </w:t>
      </w:r>
      <w:r>
        <w:rPr>
          <w:rFonts w:ascii="Times New Roman" w:cs="Times New Roman" w:eastAsia="Times New Roman" w:hAnsi="Times New Roman"/>
          <w:sz w:val="18"/>
          <w:szCs w:val="18"/>
          <w:b w:val="1"/>
          <w:bCs w:val="1"/>
          <w:color w:val="auto"/>
        </w:rPr>
        <w:t xml:space="preserve">“holders”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“holder” </w:t>
      </w:r>
      <w:r>
        <w:rPr>
          <w:rFonts w:ascii="Times New Roman" w:cs="Times New Roman" w:eastAsia="Times New Roman" w:hAnsi="Times New Roman"/>
          <w:sz w:val="18"/>
          <w:szCs w:val="18"/>
          <w:color w:val="auto"/>
        </w:rPr>
        <w:t>meaning the Registered Holders or Registered Holder, respectively) of the Warrants. A copy of the Warrant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by the holder hereof upon written request to the Company. Defined terms used in this Warrant Certificate but not defined herein shall have the meanings given to them in the Warrant Agreement.</w:t>
      </w:r>
    </w:p>
    <w:p>
      <w:pPr>
        <w:spacing w:after="0" w:line="18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anything else in this Warrant Certificate or the Warrant Agreement, no Warrant may be exercised unless at the time of exercise</w:t>
      </w:r>
    </w:p>
    <w:p>
      <w:pPr>
        <w:spacing w:after="0" w:line="27" w:lineRule="exact"/>
        <w:rPr>
          <w:sz w:val="20"/>
          <w:szCs w:val="20"/>
          <w:color w:val="auto"/>
        </w:rPr>
      </w:pPr>
    </w:p>
    <w:p>
      <w:pPr>
        <w:ind w:left="4" w:right="100" w:hanging="4"/>
        <w:spacing w:after="0" w:line="255" w:lineRule="auto"/>
        <w:tabs>
          <w:tab w:leader="none" w:pos="2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covering the issuance of the Ordinary Shares to be issued upon exercise is effective under the Securities Act of 1933, as amended, and (ii) a prospectus thereunder relating to the Ordinary Shares is current, except through “cashless exercise” as provided for in the Warrant Agreement.</w:t>
      </w:r>
    </w:p>
    <w:p>
      <w:pPr>
        <w:spacing w:after="0" w:line="18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ectPr>
          <w:pgSz w:w="11900" w:h="16838" w:orient="portrait"/>
          <w:cols w:equalWidth="0" w:num="1">
            <w:col w:w="10904"/>
          </w:cols>
          <w:pgMar w:left="436" w:top="270" w:right="559" w:bottom="1440" w:gutter="0" w:footer="0" w:header="0"/>
        </w:sectPr>
      </w:pPr>
    </w:p>
    <w:bookmarkStart w:id="247" w:name="page248"/>
    <w:bookmarkEnd w:id="247"/>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0840"/>
          </w:cols>
          <w:pgMar w:left="440" w:top="270" w:right="619" w:bottom="1440" w:gutter="0" w:footer="0" w:header="0"/>
        </w:sectPr>
      </w:pPr>
    </w:p>
    <w:bookmarkStart w:id="248" w:name="page249"/>
    <w:bookmarkEnd w:id="24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to Purchase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Ordinary Shares and herewith</w:t>
      </w:r>
    </w:p>
    <w:p>
      <w:pPr>
        <w:spacing w:after="0" w:line="2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tenders payment for such Ordinary Shares to the order of Ares Acquisition Corporation II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the amount of $ in accordance with the terms hereof. The undersigned requests that a certificate for such Ordinary Shares be registered in the name of whose address is and that such</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Ordinary Shares be delivered to whose address is . If said number of shares is less than all of the Ordinary Shares purchasable hereunder, the undersigned requests that a new Warrant Certificate representing the remaining balance of such Ordinary Shares be registered in the name of , whose address is and that such Warrant Certificate be delivered to , whose address is .</w:t>
      </w:r>
    </w:p>
    <w:p>
      <w:pPr>
        <w:spacing w:after="0" w:line="186"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Warrant Certificate representing the remaining balance of such Ordinary Shares be registered in the name of , whose address is and that such Warrant Certificate be delivered to , whose address is .</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6858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342900</wp:posOffset>
            </wp:positionV>
            <wp:extent cx="27946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17145</wp:posOffset>
            </wp:positionV>
            <wp:extent cx="22974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ldblquote"/>
      <w:numFmt w:val="bullet"/>
      <w:start w:val="1"/>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1)"/>
      <w:numFmt w:val="lowerRoman"/>
      <w:start w:val="1"/>
    </w:lvl>
  </w:abstractNum>
  <w:abstractNum w:abstractNumId="10">
    <w:nsid w:val="42C296BD"/>
    <w:multiLevelType w:val="hybridMultilevel"/>
    <w:lvl w:ilvl="0">
      <w:lvlJc w:val="left"/>
      <w:lvlText w:val="(%1)"/>
      <w:numFmt w:val="decimal"/>
      <w:start w:val="1"/>
    </w:lvl>
  </w:abstractNum>
  <w:abstractNum w:abstractNumId="11">
    <w:nsid w:val="168E121F"/>
    <w:multiLevelType w:val="hybridMultilevel"/>
    <w:lvl w:ilvl="0">
      <w:lvlJc w:val="left"/>
      <w:lvlText w:val="(%1)"/>
      <w:numFmt w:val="decimal"/>
      <w:start w:val="3"/>
    </w:lvl>
  </w:abstractNum>
  <w:abstractNum w:abstractNumId="12">
    <w:nsid w:val="1EBA5D23"/>
    <w:multiLevelType w:val="hybridMultilevel"/>
    <w:lvl w:ilvl="0">
      <w:lvlJc w:val="left"/>
      <w:lvlText w:val="(%1)"/>
      <w:numFmt w:val="decimal"/>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lowerRoman"/>
      <w:start w:val="2"/>
    </w:lvl>
  </w:abstractNum>
  <w:abstractNum w:abstractNumId="16">
    <w:nsid w:val="7BD3EE7B"/>
    <w:multiLevelType w:val="hybridMultilevel"/>
    <w:lvl w:ilvl="0">
      <w:lvlJc w:val="left"/>
      <w:lvlText w:val="(%1)"/>
      <w:numFmt w:val="lowerRoman"/>
      <w:start w:val="5"/>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1)"/>
      <w:numFmt w:val="upperLetter"/>
      <w:start w:val="2"/>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1)"/>
      <w:numFmt w:val="lowerRoman"/>
      <w:start w:val="3"/>
    </w:lvl>
  </w:abstractNum>
  <w:abstractNum w:abstractNumId="33">
    <w:nsid w:val="71EA1109"/>
    <w:multiLevelType w:val="hybridMultilevel"/>
    <w:lvl w:ilvl="0">
      <w:lvlJc w:val="left"/>
      <w:lvlText w:val="(%1)"/>
      <w:numFmt w:val="lowerRoman"/>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1)"/>
      <w:numFmt w:val="lowerRoman"/>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4"/>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3"/>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1)"/>
      <w:numFmt w:val="lowerRoman"/>
      <w:start w:val="2"/>
    </w:lvl>
  </w:abstractNum>
  <w:abstractNum w:abstractNumId="57">
    <w:nsid w:val="49DA307D"/>
    <w:multiLevelType w:val="hybridMultilevel"/>
    <w:lvl w:ilvl="0">
      <w:lvlJc w:val="left"/>
      <w:lvlText w:val="%1."/>
      <w:numFmt w:val="decimal"/>
      <w:start w:val="419"/>
    </w:lvl>
  </w:abstractNum>
  <w:abstractNum w:abstractNumId="58">
    <w:nsid w:val="7055A5F5"/>
    <w:multiLevelType w:val="hybridMultilevel"/>
    <w:lvl w:ilvl="0">
      <w:lvlJc w:val="left"/>
      <w:lvlText w:val="(%1)"/>
      <w:numFmt w:val="lowerRoman"/>
      <w:start w:val="2"/>
    </w:lvl>
  </w:abstractNum>
  <w:abstractNum w:abstractNumId="59">
    <w:nsid w:val="5FB8370B"/>
    <w:multiLevelType w:val="hybridMultilevel"/>
    <w:lvl w:ilvl="0">
      <w:lvlJc w:val="left"/>
      <w:lvlText w:val="(%1)"/>
      <w:numFmt w:val="lowerRoman"/>
      <w:start w:val="3"/>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4"/>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1)"/>
      <w:numFmt w:val="upperLetter"/>
      <w:start w:val="1"/>
    </w:lvl>
  </w:abstractNum>
  <w:abstractNum w:abstractNumId="76">
    <w:nsid w:val="9DAF632"/>
    <w:multiLevelType w:val="hybridMultilevel"/>
    <w:lvl w:ilvl="0">
      <w:lvlJc w:val="left"/>
      <w:lvlText w:val="(%1)"/>
      <w:numFmt w:val="lowerRoman"/>
      <w:start w:val="1"/>
    </w:lvl>
  </w:abstractNum>
  <w:abstractNum w:abstractNumId="77">
    <w:nsid w:val="53299938"/>
    <w:multiLevelType w:val="hybridMultilevel"/>
    <w:lvl w:ilvl="0">
      <w:lvlJc w:val="left"/>
      <w:lvlText w:val="(%1)"/>
      <w:numFmt w:val="lowerLetter"/>
      <w:start w:val="1"/>
    </w:lvl>
  </w:abstractNum>
  <w:abstractNum w:abstractNumId="78">
    <w:nsid w:val="1FBFE8E0"/>
    <w:multiLevelType w:val="hybridMultilevel"/>
    <w:lvl w:ilvl="0">
      <w:lvlJc w:val="left"/>
      <w:lvlText w:val="(%1)"/>
      <w:numFmt w:val="lowerLetter"/>
      <w:start w:val="5"/>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1)"/>
      <w:numFmt w:val="lowerRoman"/>
      <w:start w:val="2"/>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1)"/>
      <w:numFmt w:val="lowerLetter"/>
      <w:start w:val="1"/>
    </w:lvl>
  </w:abstractNum>
  <w:abstractNum w:abstractNumId="87">
    <w:nsid w:val="1CA0C5FA"/>
    <w:multiLevelType w:val="hybridMultilevel"/>
    <w:lvl w:ilvl="0">
      <w:lvlJc w:val="left"/>
      <w:lvlText w:val="(%1)"/>
      <w:numFmt w:val="lowerLetter"/>
      <w:start w:val="2"/>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decimal"/>
      <w:start w:val="1"/>
    </w:lvl>
  </w:abstractNum>
  <w:abstractNum w:abstractNumId="101">
    <w:nsid w:val="379E21B5"/>
    <w:multiLevelType w:val="hybridMultilevel"/>
    <w:lvl w:ilvl="0">
      <w:lvlJc w:val="left"/>
      <w:lvlText w:val="(%1)"/>
      <w:numFmt w:val="decimal"/>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5"/>
    </w:lvl>
  </w:abstractNum>
  <w:abstractNum w:abstractNumId="104">
    <w:nsid w:val="4C9B0904"/>
    <w:multiLevelType w:val="hybridMultilevel"/>
    <w:lvl w:ilvl="0">
      <w:lvlJc w:val="left"/>
      <w:lvlText w:val="%1."/>
      <w:numFmt w:val="decimal"/>
      <w:start w:val="2"/>
    </w:lvl>
  </w:abstractNum>
  <w:abstractNum w:abstractNumId="105">
    <w:nsid w:val="6AA7B75C"/>
    <w:multiLevelType w:val="hybridMultilevel"/>
    <w:lvl w:ilvl="0">
      <w:lvlJc w:val="left"/>
      <w:lvlText w:val="%1."/>
      <w:numFmt w:val="decimal"/>
      <w:start w:val="3"/>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1."/>
      <w:numFmt w:val="decimal"/>
      <w:start w:val="4"/>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decimal"/>
      <w:start w:val="5"/>
    </w:lvl>
  </w:abstractNum>
  <w:abstractNum w:abstractNumId="110">
    <w:nsid w:val="2708C9AF"/>
    <w:multiLevelType w:val="hybridMultilevel"/>
    <w:lvl w:ilvl="0">
      <w:lvlJc w:val="left"/>
      <w:lvlText w:val="(%1)"/>
      <w:numFmt w:val="lowerRoman"/>
      <w:start w:val="1"/>
    </w:lvl>
  </w:abstractNum>
  <w:abstractNum w:abstractNumId="111">
    <w:nsid w:val="5B25ACE2"/>
    <w:multiLevelType w:val="hybridMultilevel"/>
    <w:lvl w:ilvl="0">
      <w:lvlJc w:val="left"/>
      <w:lvlText w:val="(%1)"/>
      <w:numFmt w:val="lowerRoman"/>
      <w:start w:val="1"/>
    </w:lvl>
    <w:lvl w:ilvl="1">
      <w:lvlJc w:val="left"/>
      <w:lvlText w:val="%2."/>
      <w:numFmt w:val="decimal"/>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1)"/>
      <w:numFmt w:val="lowerRoman"/>
      <w:start w:val="1"/>
    </w:lvl>
  </w:abstractNum>
  <w:abstractNum w:abstractNumId="115">
    <w:nsid w:val="34FD6B4F"/>
    <w:multiLevelType w:val="hybridMultilevel"/>
    <w:lvl w:ilvl="0">
      <w:lvlJc w:val="left"/>
      <w:lvlText w:val="%1."/>
      <w:numFmt w:val="decimal"/>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8"/>
    </w:lvl>
  </w:abstractNum>
  <w:abstractNum w:abstractNumId="118">
    <w:nsid w:val="519E3149"/>
    <w:multiLevelType w:val="hybridMultilevel"/>
    <w:lvl w:ilvl="0">
      <w:lvlJc w:val="left"/>
      <w:lvlText w:val="%1."/>
      <w:numFmt w:val="decimal"/>
      <w:start w:val="3"/>
    </w:lvl>
  </w:abstractNum>
  <w:abstractNum w:abstractNumId="119">
    <w:nsid w:val="2C6E4AFD"/>
    <w:multiLevelType w:val="hybridMultilevel"/>
    <w:lvl w:ilvl="0">
      <w:lvlJc w:val="left"/>
      <w:lvlText w:val="(%1)"/>
      <w:numFmt w:val="lowerRoman"/>
      <w:start w:val="1"/>
    </w:lvl>
  </w:abstractNum>
  <w:abstractNum w:abstractNumId="120">
    <w:nsid w:val="17A1B582"/>
    <w:multiLevelType w:val="hybridMultilevel"/>
    <w:lvl w:ilvl="0">
      <w:lvlJc w:val="left"/>
      <w:lvlText w:val="(%1)"/>
      <w:numFmt w:val="lowerLetter"/>
      <w:start w:val="1"/>
    </w:lvl>
  </w:abstractNum>
  <w:abstractNum w:abstractNumId="121">
    <w:nsid w:val="4DF72E4E"/>
    <w:multiLevelType w:val="hybridMultilevel"/>
    <w:lvl w:ilvl="0">
      <w:lvlJc w:val="left"/>
      <w:lvlText w:val="(%1)"/>
      <w:numFmt w:val="lowerLetter"/>
      <w:start w:val="3"/>
    </w:lvl>
  </w:abstractNum>
  <w:abstractNum w:abstractNumId="122">
    <w:nsid w:val="5046B5A9"/>
    <w:multiLevelType w:val="hybridMultilevel"/>
    <w:lvl w:ilvl="0">
      <w:lvlJc w:val="left"/>
      <w:lvlText w:val="(%1)"/>
      <w:numFmt w:val="lowerRoman"/>
      <w:start w:val="10"/>
    </w:lvl>
  </w:abstractNum>
  <w:abstractNum w:abstractNumId="123">
    <w:nsid w:val="5D888A08"/>
    <w:multiLevelType w:val="hybridMultilevel"/>
    <w:lvl w:ilvl="0">
      <w:lvlJc w:val="left"/>
      <w:lvlText w:val="%1."/>
      <w:numFmt w:val="decimal"/>
      <w:start w:val="4"/>
    </w:lvl>
  </w:abstractNum>
  <w:abstractNum w:abstractNumId="124">
    <w:nsid w:val="2A082C70"/>
    <w:multiLevelType w:val="hybridMultilevel"/>
    <w:lvl w:ilvl="0">
      <w:lvlJc w:val="left"/>
      <w:lvlText w:val="(%1)"/>
      <w:numFmt w:val="lowerRoman"/>
      <w:start w:val="10"/>
    </w:lvl>
  </w:abstractNum>
  <w:abstractNum w:abstractNumId="125">
    <w:nsid w:val="5EC6AFD4"/>
    <w:multiLevelType w:val="hybridMultilevel"/>
    <w:lvl w:ilvl="0">
      <w:lvlJc w:val="left"/>
      <w:lvlText w:val="%1."/>
      <w:numFmt w:val="decimal"/>
      <w:start w:val="5"/>
    </w:lvl>
  </w:abstractNum>
  <w:abstractNum w:abstractNumId="126">
    <w:nsid w:val="19E21BB2"/>
    <w:multiLevelType w:val="hybridMultilevel"/>
    <w:lvl w:ilvl="0">
      <w:lvlJc w:val="left"/>
      <w:lvlText w:val="%1."/>
      <w:numFmt w:val="decimal"/>
      <w:start w:val="6"/>
    </w:lvl>
  </w:abstractNum>
  <w:abstractNum w:abstractNumId="127">
    <w:nsid w:val="75E0858A"/>
    <w:multiLevelType w:val="hybridMultilevel"/>
    <w:lvl w:ilvl="0">
      <w:lvlJc w:val="left"/>
      <w:lvlText w:val="%1."/>
      <w:numFmt w:val="decimal"/>
      <w:start w:val="7"/>
    </w:lvl>
  </w:abstractNum>
  <w:abstractNum w:abstractNumId="128">
    <w:nsid w:val="57A61A29"/>
    <w:multiLevelType w:val="hybridMultilevel"/>
    <w:lvl w:ilvl="0">
      <w:lvlJc w:val="left"/>
      <w:lvlText w:val="(%1)"/>
      <w:numFmt w:val="decimal"/>
      <w:start w:val="15"/>
    </w:lvl>
  </w:abstractNum>
  <w:abstractNum w:abstractNumId="129">
    <w:nsid w:val="5399C654"/>
    <w:multiLevelType w:val="hybridMultilevel"/>
    <w:lvl w:ilvl="0">
      <w:lvlJc w:val="left"/>
      <w:lvlText w:val="(%1)"/>
      <w:numFmt w:val="decimal"/>
      <w:start w:val="10"/>
    </w:lvl>
  </w:abstractNum>
  <w:abstractNum w:abstractNumId="130">
    <w:nsid w:val="20EE1348"/>
    <w:multiLevelType w:val="hybridMultilevel"/>
    <w:lvl w:ilvl="0">
      <w:lvlJc w:val="left"/>
      <w:lvlText w:val="%1."/>
      <w:numFmt w:val="decimal"/>
      <w:start w:val="8"/>
    </w:lvl>
  </w:abstractNum>
  <w:abstractNum w:abstractNumId="131">
    <w:nsid w:val="4427069A"/>
    <w:multiLevelType w:val="hybridMultilevel"/>
    <w:lvl w:ilvl="0">
      <w:lvlJc w:val="left"/>
      <w:lvlText w:val="%1."/>
      <w:numFmt w:val="decimal"/>
      <w:start w:val="9"/>
    </w:lvl>
  </w:abstractNum>
  <w:abstractNum w:abstractNumId="132">
    <w:nsid w:val="B37E80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2023-03-29T23:15:05Z</dcterms:created>
  <dcterms:modified xsi:type="dcterms:W3CDTF">2023-03-29T23:15:05Z</dcterms:modified>
</cp:coreProperties>
</file>