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November 12, 2025</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Kodiak AI, Inc.</w:t>
      </w:r>
    </w:p>
    <w:p>
      <w:pPr>
        <w:pStyle w:val="TextBody"/>
        <w:bidi w:val="0"/>
        <w:spacing w:lineRule="auto" w:line="288" w:before="0" w:after="3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7222" w:type="dxa"/>
        <w:jc w:val="left"/>
        <w:tblInd w:w="0" w:type="dxa"/>
        <w:tblLayout w:type="fixed"/>
        <w:tblCellMar>
          <w:top w:w="28" w:type="dxa"/>
          <w:left w:w="28" w:type="dxa"/>
          <w:bottom w:w="28" w:type="dxa"/>
          <w:right w:w="28" w:type="dxa"/>
        </w:tblCellMar>
      </w:tblPr>
      <w:tblGrid>
        <w:gridCol w:w="883"/>
        <w:gridCol w:w="779"/>
        <w:gridCol w:w="783"/>
        <w:gridCol w:w="109"/>
        <w:gridCol w:w="109"/>
        <w:gridCol w:w="109"/>
        <w:gridCol w:w="727"/>
        <w:gridCol w:w="727"/>
        <w:gridCol w:w="735"/>
        <w:gridCol w:w="109"/>
        <w:gridCol w:w="109"/>
        <w:gridCol w:w="109"/>
        <w:gridCol w:w="564"/>
        <w:gridCol w:w="564"/>
        <w:gridCol w:w="806"/>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001-41691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98-1592112</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Number)</w:t>
            </w:r>
          </w:p>
        </w:tc>
      </w:tr>
    </w:tbl>
    <w:tbl>
      <w:tblPr>
        <w:tblW w:w="5486" w:type="dxa"/>
        <w:jc w:val="left"/>
        <w:tblInd w:w="0" w:type="dxa"/>
        <w:tblLayout w:type="fixed"/>
        <w:tblCellMar>
          <w:top w:w="28" w:type="dxa"/>
          <w:left w:w="28" w:type="dxa"/>
          <w:bottom w:w="28" w:type="dxa"/>
          <w:right w:w="28" w:type="dxa"/>
        </w:tblCellMar>
      </w:tblPr>
      <w:tblGrid>
        <w:gridCol w:w="1509"/>
        <w:gridCol w:w="1327"/>
        <w:gridCol w:w="1333"/>
        <w:gridCol w:w="109"/>
        <w:gridCol w:w="109"/>
        <w:gridCol w:w="109"/>
        <w:gridCol w:w="290"/>
        <w:gridCol w:w="290"/>
        <w:gridCol w:w="410"/>
      </w:tblGrid>
      <w:tr>
        <w:trPr/>
        <w:tc>
          <w:tcPr>
            <w:tcW w:w="15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1049 Terra Bella Avenue, Mountain View,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94043</w:t>
            </w:r>
          </w:p>
        </w:tc>
      </w:tr>
      <w:tr>
        <w:trPr/>
        <w:tc>
          <w:tcPr>
            <w:tcW w:w="4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(650) 209-8005</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0" w:after="3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65"/>
        <w:gridCol w:w="2033"/>
        <w:gridCol w:w="2047"/>
        <w:gridCol w:w="109"/>
        <w:gridCol w:w="109"/>
        <w:gridCol w:w="109"/>
        <w:gridCol w:w="294"/>
        <w:gridCol w:w="289"/>
        <w:gridCol w:w="290"/>
        <w:gridCol w:w="109"/>
        <w:gridCol w:w="109"/>
        <w:gridCol w:w="109"/>
        <w:gridCol w:w="653"/>
        <w:gridCol w:w="653"/>
        <w:gridCol w:w="927"/>
      </w:tblGrid>
      <w:tr>
        <w:trPr/>
        <w:tc>
          <w:tcPr>
            <w:tcW w:w="2365"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64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w:t>
              <w:br/>
              <w:t>exchange on which registered</w:t>
            </w:r>
          </w:p>
        </w:tc>
      </w:tr>
      <w:tr>
        <w:trPr/>
        <w:tc>
          <w:tcPr>
            <w:tcW w:w="6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KDK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64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Redeemable warrants, each exercisable for one share of common stock at an exercise price of $9.28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KDKRW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or Rule 12b-2 of the Securities Exchange Act of 1934 (§ 240.12b-2).</w:t>
      </w:r>
    </w:p>
    <w:p>
      <w:pPr>
        <w:pStyle w:val="TextBody"/>
        <w:bidi w:val="0"/>
        <w:spacing w:lineRule="auto" w:line="288" w:before="0" w:after="12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288" w:before="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November 12, 2025, Kodiak AI, Inc. (the “Company”) issued a press release announcing financial results for the period ended September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is furnished as Exhibit 99.1 to this Current Report on Form 8-K and is incorporated by reference herein. </w:t>
      </w:r>
    </w:p>
    <w:p>
      <w:pPr>
        <w:pStyle w:val="TextBody"/>
        <w:bidi w:val="0"/>
        <w:spacing w:lineRule="auto" w:line="288" w:before="0" w:after="520"/>
        <w:jc w:val="left"/>
        <w:rPr>
          <w:rFonts w:ascii="Times New Roman;serif" w:hAnsi="Times New Roman;serif"/>
          <w:b w:val="false"/>
          <w:color w:val="000000"/>
          <w:sz w:val="20"/>
        </w:rPr>
      </w:pPr>
      <w:r>
        <w:rPr>
          <w:rFonts w:ascii="Times New Roman;serif" w:hAnsi="Times New Roman;serif"/>
          <w:b w:val="false"/>
          <w:color w:val="000000"/>
          <w:sz w:val="20"/>
        </w:rPr>
        <w:t>The information above, including Exhibit 99.1, is furnished pursuant to Item 2.02 of Form 8-K and shall not be deemed “filed” for purposes of Section 18 of the Securities Exchange Act of 1934, as amended (the “Exchange Act”), or otherwise subject to liabilities of that section, nor shall it be deemed incorporated by reference into any other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270"/>
        <w:jc w:val="left"/>
        <w:rPr>
          <w:rFonts w:ascii="Times New Roman;serif" w:hAnsi="Times New Roman;serif"/>
          <w:b/>
          <w:i/>
          <w:color w:val="000000"/>
          <w:sz w:val="20"/>
        </w:rPr>
      </w:pPr>
      <w:r>
        <w:rPr>
          <w:rFonts w:ascii="Times New Roman;serif" w:hAnsi="Times New Roman;serif"/>
          <w:b/>
          <w:i/>
          <w:color w:val="000000"/>
          <w:sz w:val="20"/>
        </w:rPr>
        <w:t>(d)Exhibits.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690"/>
        <w:gridCol w:w="2688"/>
        <w:gridCol w:w="38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kodiakai-2025930xexx991.htm">
              <w:r>
                <w:rPr>
                  <w:rStyle w:val="InternetLink"/>
                  <w:rFonts w:ascii="Times New Roman;serif" w:hAnsi="Times New Roman;serif"/>
                  <w:b w:val="false"/>
                  <w:color w:val="0000FF"/>
                  <w:sz w:val="20"/>
                  <w:u w:val="single"/>
                </w:rPr>
                <w:t>Press release dated November 12, 2025, announcing Kodiak AI, Inc.'s financial results for the period ended September 30, 2025.</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5354" w:type="dxa"/>
        <w:jc w:val="left"/>
        <w:tblInd w:w="0" w:type="dxa"/>
        <w:tblLayout w:type="fixed"/>
        <w:tblCellMar>
          <w:top w:w="28" w:type="dxa"/>
          <w:left w:w="28" w:type="dxa"/>
          <w:bottom w:w="28" w:type="dxa"/>
          <w:right w:w="28" w:type="dxa"/>
        </w:tblCellMar>
      </w:tblPr>
      <w:tblGrid>
        <w:gridCol w:w="274"/>
        <w:gridCol w:w="241"/>
        <w:gridCol w:w="241"/>
        <w:gridCol w:w="241"/>
        <w:gridCol w:w="241"/>
        <w:gridCol w:w="241"/>
        <w:gridCol w:w="241"/>
        <w:gridCol w:w="241"/>
        <w:gridCol w:w="241"/>
        <w:gridCol w:w="272"/>
        <w:gridCol w:w="272"/>
        <w:gridCol w:w="272"/>
        <w:gridCol w:w="653"/>
        <w:gridCol w:w="653"/>
        <w:gridCol w:w="658"/>
        <w:gridCol w:w="109"/>
        <w:gridCol w:w="109"/>
        <w:gridCol w:w="154"/>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KODIAK AI,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Surajit Datta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Surajit Datta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1905000" cy="1828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18288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240" w:after="120"/>
        <w:jc w:val="center"/>
        <w:rPr>
          <w:rFonts w:ascii="Arial;sans-serif" w:hAnsi="Arial;sans-serif"/>
          <w:b/>
          <w:color w:val="000000"/>
          <w:sz w:val="28"/>
        </w:rPr>
      </w:pPr>
      <w:r>
        <w:rPr>
          <w:rFonts w:ascii="Arial;sans-serif" w:hAnsi="Arial;sans-serif"/>
          <w:b/>
          <w:color w:val="000000"/>
          <w:sz w:val="28"/>
        </w:rPr>
        <w:t>Kodiak AI Announces Third Quarter 2025 Results</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4"/>
        </w:rPr>
        <w:t>The Kodiak Driver is now deployed in 10 fully driverless trucks, representing a 100% increase over Q2</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4"/>
        </w:rPr>
        <w:t>Kodiak Driver-powered trucks accumulated a total of over 5,200 Cumulative Hours of Paid Driverless Operations through Q3, representing a 166% increase from the end of Q2</w:t>
      </w:r>
    </w:p>
    <w:p>
      <w:pPr>
        <w:pStyle w:val="TextBody"/>
        <w:bidi w:val="0"/>
        <w:spacing w:lineRule="auto" w:line="288" w:before="0" w:after="480"/>
        <w:ind w:left="0" w:right="0" w:hanging="360"/>
        <w:jc w:val="left"/>
        <w:rPr/>
      </w:pPr>
      <w:r>
        <w:rPr>
          <w:color w:val="000000"/>
        </w:rPr>
        <w:t>•</w:t>
      </w:r>
      <w:r>
        <w:rPr>
          <w:rFonts w:ascii="Arial;sans-serif" w:hAnsi="Arial;sans-serif"/>
          <w:b w:val="false"/>
          <w:color w:val="000000"/>
          <w:sz w:val="24"/>
        </w:rPr>
        <w:t>Kodiak successfully closed its business combination with Ares Acquisition Corporation II and began trading on Nasdaq under the ticker symbol “KDK” in September 2025</w:t>
      </w:r>
    </w:p>
    <w:p>
      <w:pPr>
        <w:pStyle w:val="TextBody"/>
        <w:bidi w:val="0"/>
        <w:spacing w:lineRule="auto" w:line="268" w:before="0" w:after="0"/>
        <w:jc w:val="left"/>
        <w:rPr/>
      </w:pPr>
      <w:r>
        <w:rPr>
          <w:rFonts w:ascii="Arial;sans-serif" w:hAnsi="Arial;sans-serif"/>
          <w:b/>
          <w:color w:val="000000"/>
          <w:sz w:val="24"/>
        </w:rPr>
        <w:t xml:space="preserve">MOUNTAIN VIEW, Calif. (November 12, 2025) </w:t>
      </w:r>
      <w:r>
        <w:rPr>
          <w:color w:val="000000"/>
        </w:rPr>
        <w:t>—</w:t>
      </w:r>
      <w:r>
        <w:rPr>
          <w:color w:val="1155CC"/>
        </w:rPr>
        <w:t xml:space="preserve"> </w:t>
      </w:r>
      <w:r>
        <w:rPr>
          <w:rFonts w:ascii="Arial;sans-serif" w:hAnsi="Arial;sans-serif"/>
          <w:b w:val="false"/>
          <w:color w:val="000000"/>
          <w:sz w:val="24"/>
        </w:rPr>
        <w:t xml:space="preserve">Kodiak AI, Inc. (“Kodiak” or the </w:t>
      </w:r>
    </w:p>
    <w:p>
      <w:pPr>
        <w:pStyle w:val="TextBody"/>
        <w:bidi w:val="0"/>
        <w:spacing w:lineRule="auto" w:line="288" w:before="0" w:after="240"/>
        <w:jc w:val="left"/>
        <w:rPr>
          <w:color w:val="000000"/>
        </w:rPr>
      </w:pPr>
      <w:r>
        <w:rPr>
          <w:color w:val="000000"/>
        </w:rPr>
        <w:t>“</w:t>
      </w:r>
      <w:r>
        <w:rPr>
          <w:rFonts w:ascii="Arial;sans-serif" w:hAnsi="Arial;sans-serif"/>
          <w:b w:val="false"/>
          <w:color w:val="000000"/>
          <w:sz w:val="24"/>
        </w:rPr>
        <w:t>Company”) (Nasdaq: KDK), a leading provider of artificial intelligence (“AI”)-powered autonomous vehicle technology, today announced results for the third quarter, which ended September 30, 2025. During the quarter, the Company achieved key milestones on its path to delivering its AI-powered autonomous technology, the Kodiak Driver, at scale. The Kodiak Driver is designed to address major challenges across the long-haul trucking, industrial trucking, and defense industries, including labor shortages, rising costs, and the need for greater safety and efficiency.</w:t>
      </w:r>
    </w:p>
    <w:p>
      <w:pPr>
        <w:pStyle w:val="TextBody"/>
        <w:bidi w:val="0"/>
        <w:spacing w:lineRule="auto" w:line="288" w:before="0" w:after="240"/>
        <w:jc w:val="left"/>
        <w:rPr>
          <w:color w:val="000000"/>
        </w:rPr>
      </w:pPr>
      <w:r>
        <w:rPr>
          <w:color w:val="000000"/>
        </w:rPr>
        <w:t>“</w:t>
      </w:r>
      <w:r>
        <w:rPr>
          <w:rFonts w:ascii="Arial;sans-serif" w:hAnsi="Arial;sans-serif"/>
          <w:b w:val="false"/>
          <w:color w:val="000000"/>
          <w:sz w:val="24"/>
        </w:rPr>
        <w:t>Our first quarter as a public company marks an exciting milestone for Kodiak,” said Don Burnette, Founder and Chief Executive Officer of Kodiak. “We are incredibly proud of our accomplishments during the quarter as we delivered strong operational and financial results. We are generating revenue and scaling our business. By the end of the third quarter, we deployed the Kodiak Driver in 10 fully driverless trucks, representing a 100% increase from the second quarter. We remain on track to deploy our initial commitment of 100 driverless trucks to Atlas Energy Solutions. We are executing on our customer and product roadmap while developing critical operational expertise, fueling our customer pipeline. We have also made meaningful progress toward closing our long-haul safety case, and anticipate launching long-haul driverless operations in the second half of 2026.”</w:t>
      </w:r>
    </w:p>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 xml:space="preserve">Third Quarter Results and Business Highlights: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Deployed five additional Kodiak Driver-powered trucks to Atlas Energy Solutions, which now has a fleet of 10 fully driverless trucks in operation. This represents a 100% increase from the second quarter</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Accumulated a total of over 5,200 Cumulative Hours of Paid Driverless Operations through the third quarter, representing a 166% increase from the end of the second quarter</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As of the end of the third quarter, the Kodiak Driver has driven over 3 million autonomous miles and delivered over 10,000 loads for customers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Announced Kodiak’s long-haul autonomous trucks achieved the top score in an independent safety evaluation by Nauto, a leader in AI-powered fleet safety technology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Granted a regulatory waiver to use “warning beacons” in place of physical warning triangles behind disabled trucks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Introduced numerous new product features, including a new generative AI-based system to identify and address novel, complex edge case scenarios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Commenced hauling double trailers in the industrial vertical</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Announced manufacturing partner Roush Industries completed production of its first driverless-ready truck, enhancing Kodiak’s ability to scale deployment of driverless trucks to customers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Announced the integration of NXP ISO 26262-compliant processors and interface solutions into the computer architecture that powers the Kodiak Driver to improve vehicle uptime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Expanded partnership with global Tier 1 automotive supplier ZF to supply 100 advanced steering systems with redundant components for integration into Kodiak Driver-powered trucks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Began trading as a publicly listed company on the Nasdaq under the ticker symbol “KDK”</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Ended Q3 with $146.2 million in cash and cash equivalents, including the proceeds raised as part of the business combination with Ares Acquisition Corporation II, net of transaction fees and expenses</w:t>
      </w:r>
    </w:p>
    <w:p>
      <w:pPr>
        <w:pStyle w:val="TextBody"/>
        <w:bidi w:val="0"/>
        <w:spacing w:lineRule="auto" w:line="288" w:before="0" w:after="240"/>
        <w:jc w:val="left"/>
        <w:rPr>
          <w:color w:val="000000"/>
        </w:rPr>
      </w:pPr>
      <w:r>
        <w:rPr>
          <w:color w:val="000000"/>
        </w:rPr>
        <w:t>“</w:t>
      </w:r>
      <w:r>
        <w:rPr>
          <w:rFonts w:ascii="Arial;sans-serif" w:hAnsi="Arial;sans-serif"/>
          <w:b w:val="false"/>
          <w:color w:val="000000"/>
          <w:sz w:val="24"/>
        </w:rPr>
        <w:t xml:space="preserve">Our financial results in our first quarter as a public company reflect disciplined execution and a clear focus on building long-term value,” said Surajit Datta, Chief Financial Officer of Kodiak. “Our financial priorities are closely aligned with our strategic goals. We are focused </w:t>
      </w: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on growing our Driver-as-a-Service revenue with our long-haul, industrial, and defense customers to build a durable, recurring, high-margin business. At the same time, we continue to invest prudently in technology, safety, and commercial readiness. By maintaining a capital-efficient and asset-light model, we are positioning Kodiak to scale efficiently, achieve profitability and positive free cash flow in the future, and deliver sustainable value for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Upcoming Investor Conference</w:t>
      </w:r>
    </w:p>
    <w:p>
      <w:pPr>
        <w:pStyle w:val="TextBody"/>
        <w:bidi w:val="0"/>
        <w:spacing w:lineRule="auto" w:line="288" w:before="0" w:after="240"/>
        <w:jc w:val="left"/>
        <w:rPr/>
      </w:pPr>
      <w:r>
        <w:rPr>
          <w:rFonts w:ascii="Arial;sans-serif" w:hAnsi="Arial;sans-serif"/>
          <w:b w:val="false"/>
          <w:color w:val="000000"/>
          <w:sz w:val="24"/>
        </w:rPr>
        <w:t xml:space="preserve">Management will present at the Stephens NASH25 Conference on November 18, 2025 at 3:00 PM ET (12:00 PM PT). A live and archived webcast of the presentation will be available on Kodiak’s Investor Relations section of the Company’s website, </w:t>
      </w:r>
      <w:r>
        <w:rPr>
          <w:rFonts w:ascii="Arial;sans-serif" w:hAnsi="Arial;sans-serif"/>
          <w:b w:val="false"/>
          <w:color w:val="3051F2"/>
          <w:sz w:val="24"/>
          <w:u w:val="single"/>
        </w:rPr>
        <w:t>https://kodiak.ai/investors</w:t>
      </w:r>
      <w:r>
        <w:rPr>
          <w:rFonts w:ascii="Arial;sans-serif" w:hAnsi="Arial;sans-serif"/>
          <w:b w:val="false"/>
          <w:color w:val="000000"/>
          <w:sz w:val="24"/>
        </w:rPr>
        <w:t>.</w:t>
      </w:r>
    </w:p>
    <w:p>
      <w:pPr>
        <w:pStyle w:val="TextBody"/>
        <w:bidi w:val="0"/>
        <w:spacing w:lineRule="auto" w:line="288" w:before="0" w:after="240"/>
        <w:jc w:val="left"/>
        <w:rPr/>
      </w:pPr>
      <w:r>
        <w:rPr>
          <w:rFonts w:ascii="Arial;sans-serif" w:hAnsi="Arial;sans-serif"/>
          <w:b/>
          <w:color w:val="000000"/>
          <w:sz w:val="24"/>
        </w:rPr>
        <w:t>Conference Call Information</w:t>
      </w:r>
      <w:r>
        <w:rPr>
          <w:color w:val="000000"/>
        </w:rPr>
        <w:t xml:space="preserve"> </w:t>
      </w:r>
    </w:p>
    <w:p>
      <w:pPr>
        <w:pStyle w:val="TextBody"/>
        <w:bidi w:val="0"/>
        <w:spacing w:lineRule="auto" w:line="268" w:before="0" w:after="240"/>
        <w:jc w:val="left"/>
        <w:rPr>
          <w:rFonts w:ascii="Arial;sans-serif" w:hAnsi="Arial;sans-serif"/>
          <w:b w:val="false"/>
          <w:color w:val="000000"/>
          <w:sz w:val="24"/>
        </w:rPr>
      </w:pPr>
      <w:r>
        <w:rPr>
          <w:rFonts w:ascii="Arial;sans-serif" w:hAnsi="Arial;sans-serif"/>
          <w:b w:val="false"/>
          <w:color w:val="000000"/>
          <w:sz w:val="24"/>
        </w:rPr>
        <w:t>Management will host a conference call to discuss the third quarter results today at 5:00 PM ET (2:00 PM PT). To join the conference call please click on the below link and complete the registration form.</w:t>
      </w:r>
    </w:p>
    <w:p>
      <w:pPr>
        <w:pStyle w:val="TextBody"/>
        <w:bidi w:val="0"/>
        <w:spacing w:lineRule="auto" w:line="268" w:before="0" w:after="240"/>
        <w:jc w:val="left"/>
        <w:rPr>
          <w:rFonts w:ascii="Arial;sans-serif" w:hAnsi="Arial;sans-serif"/>
          <w:b w:val="false"/>
          <w:color w:val="3051F2"/>
          <w:sz w:val="24"/>
          <w:u w:val="single"/>
        </w:rPr>
      </w:pPr>
      <w:r>
        <w:rPr>
          <w:rFonts w:ascii="Arial;sans-serif" w:hAnsi="Arial;sans-serif"/>
          <w:b w:val="false"/>
          <w:color w:val="3051F2"/>
          <w:sz w:val="24"/>
          <w:u w:val="single"/>
        </w:rPr>
        <w:t>https://register-conf.media-server.com/register/BI283bb945f87749729d658b06d601dbd9</w:t>
      </w:r>
    </w:p>
    <w:p>
      <w:pPr>
        <w:pStyle w:val="TextBody"/>
        <w:bidi w:val="0"/>
        <w:spacing w:lineRule="auto" w:line="288" w:before="0" w:after="480"/>
        <w:jc w:val="left"/>
        <w:rPr/>
      </w:pPr>
      <w:r>
        <w:rPr>
          <w:rFonts w:ascii="Arial;sans-serif" w:hAnsi="Arial;sans-serif"/>
          <w:b w:val="false"/>
          <w:color w:val="000000"/>
          <w:sz w:val="24"/>
        </w:rPr>
        <w:t xml:space="preserve">The call may also be accessed through a live audio webcast on the Investor Relations section of the Company’s website, </w:t>
      </w:r>
      <w:r>
        <w:rPr>
          <w:rFonts w:ascii="Arial;sans-serif" w:hAnsi="Arial;sans-serif"/>
          <w:b w:val="false"/>
          <w:color w:val="3051F2"/>
          <w:sz w:val="24"/>
          <w:u w:val="single"/>
        </w:rPr>
        <w:t>https://kodiak.ai/investors</w:t>
      </w:r>
      <w:r>
        <w:rPr>
          <w:rFonts w:ascii="Arial;sans-serif" w:hAnsi="Arial;sans-serif"/>
          <w:b w:val="false"/>
          <w:color w:val="000000"/>
          <w:sz w:val="24"/>
        </w:rPr>
        <w:t>. An audio replay will be available at the same location.</w:t>
      </w:r>
    </w:p>
    <w:p>
      <w:pPr>
        <w:pStyle w:val="TextBody"/>
        <w:bidi w:val="0"/>
        <w:spacing w:lineRule="auto" w:line="268" w:before="0" w:after="240"/>
        <w:jc w:val="left"/>
        <w:rPr>
          <w:rFonts w:ascii="Arial;sans-serif" w:hAnsi="Arial;sans-serif"/>
          <w:b/>
          <w:color w:val="000000"/>
          <w:sz w:val="24"/>
        </w:rPr>
      </w:pPr>
      <w:r>
        <w:rPr>
          <w:rFonts w:ascii="Arial;sans-serif" w:hAnsi="Arial;sans-serif"/>
          <w:b/>
          <w:color w:val="000000"/>
          <w:sz w:val="24"/>
        </w:rPr>
        <w:t>About Kodiak AI, Inc.</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Kodiak AI, Inc. was founded in 2018 and is a leading provider of AI-powered autonomous vehicle technology that is designed to help tackle some of the toughest driving jobs. Kodiak's driverless solution can help address the critical problem of safely transporting goods in the face of unprecedented supply chain challenges. Kodiak's vision is to become the trusted world leader in autonomous ground transportation. Kodiak is committed to a safer and more efficient future for all through the commercialization of driverless trucking at scale. To that end, Kodiak developed the Kodiak Driver, a virtual driver that combines advanced AI-powered software with modular and vehicle-agnostic hardware designed to help address Kodiak's customers' needs. The Kodiak Driver is not just an idea—it is operating without anyone in the cab today. Kodiak serves customers in the long-haul trucking, industrial trucking, and defense industries. In 2024, Kodiak believes it achieved a historic milestone by becoming the first company to deploy customer-owned and -operated driverless trucks in commercial service.</w:t>
      </w:r>
    </w:p>
    <w:p>
      <w:pPr>
        <w:pStyle w:val="TextBody"/>
        <w:bidi w:val="0"/>
        <w:spacing w:lineRule="auto" w:line="288" w:before="0" w:after="240"/>
        <w:jc w:val="left"/>
        <w:rPr/>
      </w:pPr>
      <w:r>
        <w:rPr>
          <w:rFonts w:ascii="Arial;sans-serif" w:hAnsi="Arial;sans-serif"/>
          <w:b w:val="false"/>
          <w:color w:val="000000"/>
          <w:sz w:val="24"/>
        </w:rPr>
        <w:t xml:space="preserve">For more information about Kodiak, please visit </w:t>
      </w:r>
      <w:r>
        <w:rPr>
          <w:rFonts w:ascii="Arial;sans-serif" w:hAnsi="Arial;sans-serif"/>
          <w:b w:val="false"/>
          <w:color w:val="3051F2"/>
          <w:sz w:val="24"/>
          <w:u w:val="single"/>
        </w:rPr>
        <w:t>https://kodiak.ai/investors</w:t>
      </w:r>
      <w:r>
        <w:rPr>
          <w:rFonts w:ascii="Arial;sans-serif" w:hAnsi="Arial;sans-serif"/>
          <w:b w:val="false"/>
          <w:color w:val="000000"/>
          <w:sz w:val="24"/>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Contacts</w: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Kodiak Media Relations</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Daniel Goff</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VP of External Affairs</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+1 646-515-3933</w:t>
      </w:r>
    </w:p>
    <w:p>
      <w:pPr>
        <w:pStyle w:val="TextBody"/>
        <w:bidi w:val="0"/>
        <w:spacing w:lineRule="auto" w:line="288" w:before="0" w:after="300"/>
        <w:jc w:val="left"/>
        <w:rPr>
          <w:rFonts w:ascii="Arial;sans-serif" w:hAnsi="Arial;sans-serif"/>
          <w:b w:val="false"/>
          <w:color w:val="3051F2"/>
          <w:sz w:val="24"/>
          <w:u w:val="single"/>
        </w:rPr>
      </w:pPr>
      <w:r>
        <w:rPr>
          <w:rFonts w:ascii="Arial;sans-serif" w:hAnsi="Arial;sans-serif"/>
          <w:b w:val="false"/>
          <w:color w:val="3051F2"/>
          <w:sz w:val="24"/>
          <w:u w:val="single"/>
        </w:rPr>
        <w:t>dan@kodiak.ai</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Stacy Morris</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Futurista Communications for Kodiak</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+1 310-415-9188</w:t>
      </w:r>
    </w:p>
    <w:p>
      <w:pPr>
        <w:pStyle w:val="TextBody"/>
        <w:bidi w:val="0"/>
        <w:spacing w:lineRule="auto" w:line="288" w:before="0" w:after="360"/>
        <w:jc w:val="left"/>
        <w:rPr>
          <w:rFonts w:ascii="Arial;sans-serif" w:hAnsi="Arial;sans-serif"/>
          <w:b w:val="false"/>
          <w:color w:val="3051F2"/>
          <w:sz w:val="24"/>
          <w:u w:val="single"/>
        </w:rPr>
      </w:pPr>
      <w:r>
        <w:rPr>
          <w:rFonts w:ascii="Arial;sans-serif" w:hAnsi="Arial;sans-serif"/>
          <w:b w:val="false"/>
          <w:color w:val="3051F2"/>
          <w:sz w:val="24"/>
          <w:u w:val="single"/>
        </w:rPr>
        <w:t>stacy.morris@futuristacommunications.com</w: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Kodiak Investor Relations</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Lauren Sloane</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The Blueshirt Group for Kodiak</w:t>
      </w:r>
    </w:p>
    <w:p>
      <w:pPr>
        <w:pStyle w:val="TextBody"/>
        <w:bidi w:val="0"/>
        <w:spacing w:lineRule="auto" w:line="288" w:before="0" w:after="240"/>
        <w:jc w:val="left"/>
        <w:rPr>
          <w:rFonts w:ascii="Arial;sans-serif" w:hAnsi="Arial;sans-serif"/>
          <w:b w:val="false"/>
          <w:color w:val="3051F2"/>
          <w:sz w:val="24"/>
          <w:u w:val="single"/>
        </w:rPr>
      </w:pPr>
      <w:r>
        <w:rPr>
          <w:rFonts w:ascii="Arial;sans-serif" w:hAnsi="Arial;sans-serif"/>
          <w:b w:val="false"/>
          <w:color w:val="3051F2"/>
          <w:sz w:val="24"/>
          <w:u w:val="single"/>
        </w:rPr>
        <w:t>Lauren@blueshirtgroup.com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left"/>
        <w:rPr>
          <w:rFonts w:ascii="Arial;sans-serif" w:hAnsi="Arial;sans-serif"/>
          <w:b/>
          <w:color w:val="000000"/>
          <w:sz w:val="24"/>
        </w:rPr>
      </w:pPr>
      <w:r>
        <w:rPr>
          <w:rFonts w:ascii="Arial;sans-serif" w:hAnsi="Arial;sans-serif"/>
          <w:b/>
          <w:color w:val="000000"/>
          <w:sz w:val="24"/>
        </w:rPr>
        <w:t>Forward Looking Statements</w:t>
      </w:r>
    </w:p>
    <w:p>
      <w:pPr>
        <w:pStyle w:val="TextBody"/>
        <w:bidi w:val="0"/>
        <w:spacing w:lineRule="auto" w:line="288"/>
        <w:jc w:val="left"/>
        <w:rPr/>
      </w:pPr>
      <w:r>
        <w:rPr>
          <w:rFonts w:ascii="Arial;sans-serif" w:hAnsi="Arial;sans-serif"/>
          <w:b w:val="false"/>
          <w:color w:val="000000"/>
          <w:sz w:val="22"/>
        </w:rPr>
        <w:t>T</w:t>
      </w:r>
      <w:r>
        <w:rPr>
          <w:rFonts w:ascii="Arial;sans-serif" w:hAnsi="Arial;sans-serif"/>
          <w:b w:val="false"/>
          <w:color w:val="000000"/>
          <w:sz w:val="24"/>
        </w:rPr>
        <w:t xml:space="preserve">his press release includes “forward-looking statements” within the meaning of Section 27A of the Securities Act of 1933, Section 21E of the Securities Exchange Act of 1934, and the “safe harbor” provisions of the United States Private Securities Litigation Reform Act of 1995, each as amended, including Kodiak’s expectations, hopes, beliefs, intentions or strategies regarding the future. Forward-looking statements may be identified by the use of words such as “anticipate,” “believe,” “continue,” “could,” “estimate,” “forecast,” “intend,” “expect,” “may,” “plan,” “potential,” “project,” “seek,” “should,” “will,” “would”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Kodiak’s operational and product roadmap, its relationships with partners and suppliers, and its ability to produce and deploy the Kodiak Driver at scale; expectations regarding Kodiak’s expansion plans and opportunities, including the timing of launching driverless trucks for long-haul highways operations; and other expectations regarding Kodiak’s future business and financial performance, such as Kodiak’s approach to operational and financial discipline, its future cash flows, and path to profitability. These statements are based on various assumptions, whether or not identified in this press release, and on the current expectations of Kodiak’s management and are not predictions of actual performance. These forward-looking statements are not intended to serve as, and must not be relied upon by any investors as, a guarantee, an assurance, a prediction or a definitive statement of fact or probability. Actual events and circumstances are difficult or impossible to predict and will differ from assumptions. Many actual events and circumstances are beyond the control of Kodiak. These forward-looking statements are subject to a number of risks and uncertainties, including changes in business, market, financial, political and legal conditions; the rapid evolution of autonomous vehicle technology and flaws or errors in Kodiak’s solutions or flaws in or misuse of autonomous vehicle technology in general; risks related to the rollout of Kodiak’s business and the timing of expected business milestones; the effects of competition on Kodiak’s business; supply shortages in the materials necessary for the production of the Kodiak Driver; risks related to working with third-party manufacturers for key components of the Kodiak Driver; risks related to the retrofitting of Kodiak’s vehicles by third parties; the termination or suspension of any of Kodiak’s contracts or the reduction in counterparty spending; delays in Kodiak’s operational roadmap with key partners and customers; and Kodiak’s ability to raise capital in the future. Additional information concerning these and other factors that may impact such forward-looking statements can be found in filings by Kodiak with the Securities and Exchange Commission (the “SEC”), which are available on the SEC’s website at www.sec.gov. If any of these risks materialize or any assumptions prove incorrect, actual results could differ materially from the results implied by these forward-looking statements. There may be additional risks that Kodiak may not presently know or that Kodiak currently believes are immaterial that could also cause actual results to differ from those contained in the forward-looking statements. In addition, forward-looking statements reflect Kodiak’s expectations, plans or forecasts of future events and views as of the date of this press release. These forward-looking statements should not be relied upon as representing Kodiak’s assessments as of any date subsequent to the date of this press </w:t>
      </w: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release. Accordingly, undue reliance should not be placed upon the forward-looking statements. Except as required by law, Kodiak specifically disclaims any obligation to update any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In addition to our financial results determined in accordance with GAAP, we consider certain non-GAAP measures, including the following, which we use to evaluate our ongoing operations and for internal planning and forecasting purposes. We believe that non-GAAP financial information, when taken collectively with the financial information presented in accordance with GAAP,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Other companies, including companies in our industry, may calculate similarly titled non-GAAP measures differently or may use other measures to evaluate their performance, all of which could reduce the usefulness of our non-GAAP financial measures as tools for comparison. In addition, the utility of free cash flow as a measure of our liquidity is limited as it does not represent the total increase or decrease in our cash balance for a given period.</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Investors are encouraged to review the related GAAP financial measures and the reconciliation of these non-GAAP financial measures to their most directly comparable GAAP financial measures and not rely on any single financial measure to evaluate our business.</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This press release may also include references to forward-looking free cash flow, a non-GAAP financial measure. To the extent that such forward-looking financial measures are provided, they are presented on a non-GAAP basis without a reconciliation to the most directly comparable GAAP measure due to the inherent difficulty in forecasting and quantifying certain amounts that are necessary for such reconciliation.</w:t>
      </w:r>
    </w:p>
    <w:p>
      <w:pPr>
        <w:pStyle w:val="TextBody"/>
        <w:bidi w:val="0"/>
        <w:spacing w:lineRule="auto" w:line="288" w:before="0" w:after="240"/>
        <w:jc w:val="left"/>
        <w:rPr>
          <w:rFonts w:ascii="Arial;sans-serif" w:hAnsi="Arial;sans-serif"/>
          <w:b w:val="false"/>
          <w:i/>
          <w:color w:val="000000"/>
          <w:sz w:val="24"/>
        </w:rPr>
      </w:pPr>
      <w:r>
        <w:rPr>
          <w:rFonts w:ascii="Arial;sans-serif" w:hAnsi="Arial;sans-serif"/>
          <w:b w:val="false"/>
          <w:i/>
          <w:color w:val="000000"/>
          <w:sz w:val="24"/>
        </w:rPr>
        <w:t>Non-GAAP Operating Expenses and Non-GAAP Loss from Operations</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 xml:space="preserve">We define these non-GAAP financial measures as their respective GAAP measures, each excluding stock-based compensation expense. We use these non-GAAP financial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Stock-based compensation is a non-cash expense that varies in amount from period to period and is dependent on market forces that are often beyond our control. As a result, management excludes this item from internal operating forecasts and models. Management believes that non-GAAP measures adjusted for stock-based compensation provide investors with a basis to measure our performance against the performance of other companies without the variability created by stock-based compensation as a result of the </w:t>
      </w:r>
    </w:p>
    <w:p>
      <w:pPr>
        <w:pStyle w:val="TextBody"/>
        <w:bidi w:val="0"/>
        <w:spacing w:before="0" w:after="2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variety of equity awards used by other companies and the varying methodologies and assumptions used.</w:t>
      </w:r>
    </w:p>
    <w:p>
      <w:pPr>
        <w:pStyle w:val="TextBody"/>
        <w:bidi w:val="0"/>
        <w:spacing w:lineRule="auto" w:line="288" w:before="0" w:after="240"/>
        <w:jc w:val="left"/>
        <w:rPr>
          <w:rFonts w:ascii="Arial;sans-serif" w:hAnsi="Arial;sans-serif"/>
          <w:b w:val="false"/>
          <w:i/>
          <w:color w:val="000000"/>
          <w:sz w:val="24"/>
        </w:rPr>
      </w:pPr>
      <w:r>
        <w:rPr>
          <w:rFonts w:ascii="Arial;sans-serif" w:hAnsi="Arial;sans-serif"/>
          <w:b w:val="false"/>
          <w:i/>
          <w:color w:val="000000"/>
          <w:sz w:val="24"/>
        </w:rPr>
        <w:t>Free Cash Flow</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We define free cash flow as cash used in operating activities, which is the most directly comparable measure calculated in accordance with GAAP, less purchases of property and equipment. We believe free cash flow is a useful indicator of liquidity that provides our management, board of directors, and investors with information about our future ability to generate or use cash to enhance the strength of our balance sheet and further invest in our business and pursue potential strategic initiatives.</w:t>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Kodiak AI,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360"/>
        <w:jc w:val="center"/>
        <w:rPr>
          <w:rFonts w:ascii="Arial;sans-serif" w:hAnsi="Arial;sans-serif"/>
          <w:b/>
          <w:color w:val="000000"/>
          <w:sz w:val="20"/>
        </w:rPr>
      </w:pPr>
      <w:r>
        <w:rPr>
          <w:rFonts w:ascii="Arial;sans-serif" w:hAnsi="Arial;sans-serif"/>
          <w:b/>
          <w:color w:val="000000"/>
          <w:sz w:val="20"/>
        </w:rPr>
        <w:t>(In thousands, except par values; unaudited) </w:t>
      </w:r>
    </w:p>
    <w:tbl>
      <w:tblPr>
        <w:tblW w:w="10205" w:type="dxa"/>
        <w:jc w:val="left"/>
        <w:tblInd w:w="0" w:type="dxa"/>
        <w:tblLayout w:type="fixed"/>
        <w:tblCellMar>
          <w:top w:w="28" w:type="dxa"/>
          <w:left w:w="28" w:type="dxa"/>
          <w:bottom w:w="28" w:type="dxa"/>
          <w:right w:w="28" w:type="dxa"/>
        </w:tblCellMar>
      </w:tblPr>
      <w:tblGrid>
        <w:gridCol w:w="3164"/>
        <w:gridCol w:w="2326"/>
        <w:gridCol w:w="2059"/>
        <w:gridCol w:w="213"/>
        <w:gridCol w:w="865"/>
        <w:gridCol w:w="110"/>
        <w:gridCol w:w="109"/>
        <w:gridCol w:w="109"/>
        <w:gridCol w:w="109"/>
        <w:gridCol w:w="215"/>
        <w:gridCol w:w="766"/>
        <w:gridCol w:w="160"/>
      </w:tblGrid>
      <w:tr>
        <w:trPr/>
        <w:tc>
          <w:tcPr>
            <w:tcW w:w="3164"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4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146,203 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151,825 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20,249 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177,839 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35,561 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 redeemable convertible preferred stock and stockholders’ deficit</w:t>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 current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current portion</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34,652 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31,218 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net of current portion</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Second lien loans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Simple agreements for future equity</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warrants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123,328 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Redeemable convertible preferred stock warrant liabilities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174,157 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115,748 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Redeemable convertible preferred stock</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Series A cumulative redeemable convertible preferred stock, par value $0.0001; 20,000 and no shares authorized as of September 30, 2025 and December 31, 2024, respectively; 142 and no shares issued and outstanding as of September 30, 2025 and December 31, 2024, respectively</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223,185 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Redeemable convertible preferred stock, par value $0.0001; no and 98,127 shares authorized as of September 30, 2025 and December 31, 2024, respectively; no and 62,240 shares issued and outstanding as of September 30, 2025 and December 31, 2024, respectively</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170,648 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46"/>
        <w:gridCol w:w="2414"/>
        <w:gridCol w:w="2425"/>
        <w:gridCol w:w="211"/>
        <w:gridCol w:w="856"/>
        <w:gridCol w:w="109"/>
        <w:gridCol w:w="109"/>
        <w:gridCol w:w="109"/>
        <w:gridCol w:w="109"/>
        <w:gridCol w:w="211"/>
        <w:gridCol w:w="751"/>
        <w:gridCol w:w="155"/>
      </w:tblGrid>
      <w:tr>
        <w:trPr/>
        <w:tc>
          <w:tcPr>
            <w:tcW w:w="274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Stockholders’ deficit: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Arial;sans-serif" w:hAnsi="Arial;sans-serif"/>
                <w:b w:val="false"/>
                <w:color w:val="000000"/>
                <w:sz w:val="20"/>
              </w:rPr>
            </w:pPr>
            <w:r>
              <w:rPr>
                <w:rFonts w:ascii="Arial;sans-serif" w:hAnsi="Arial;sans-serif"/>
                <w:b w:val="false"/>
                <w:color w:val="000000"/>
                <w:sz w:val="20"/>
              </w:rPr>
              <w:t>Common stock, $0.0001 par value; 1,980,000 and 265,000 shares authorized as of September 30, 2025 and December 31, 2024, respectively; 174,957 and 58,057 shares issued and outstanding as of September 30, 2025 and December 31,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(268,144)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stockholders’ deficit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(250,835)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 redeemable convertible preferred stock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35,561 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Kodiak AI,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Condensed Consolidated Statements of Operations and Comprehensive Loss</w:t>
      </w:r>
    </w:p>
    <w:p>
      <w:pPr>
        <w:pStyle w:val="TextBody"/>
        <w:bidi w:val="0"/>
        <w:spacing w:lineRule="auto" w:line="288" w:before="0" w:after="240"/>
        <w:jc w:val="center"/>
        <w:rPr/>
      </w:pPr>
      <w:r>
        <w:rPr>
          <w:rFonts w:ascii="Arial;sans-serif" w:hAnsi="Arial;sans-serif"/>
          <w:b/>
          <w:color w:val="000000"/>
          <w:sz w:val="20"/>
        </w:rPr>
        <w:t>(In thousands, except per share amounts; 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1701"/>
        <w:gridCol w:w="1144"/>
        <w:gridCol w:w="1152"/>
        <w:gridCol w:w="235"/>
        <w:gridCol w:w="988"/>
        <w:gridCol w:w="121"/>
        <w:gridCol w:w="121"/>
        <w:gridCol w:w="121"/>
        <w:gridCol w:w="121"/>
        <w:gridCol w:w="235"/>
        <w:gridCol w:w="871"/>
        <w:gridCol w:w="121"/>
        <w:gridCol w:w="109"/>
        <w:gridCol w:w="109"/>
        <w:gridCol w:w="109"/>
        <w:gridCol w:w="231"/>
        <w:gridCol w:w="972"/>
        <w:gridCol w:w="119"/>
        <w:gridCol w:w="119"/>
        <w:gridCol w:w="119"/>
        <w:gridCol w:w="119"/>
        <w:gridCol w:w="231"/>
        <w:gridCol w:w="856"/>
        <w:gridCol w:w="181"/>
      </w:tblGrid>
      <w:tr>
        <w:trPr/>
        <w:tc>
          <w:tcPr>
            <w:tcW w:w="17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Truck and freight operations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18,608 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76,659 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53,486 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(29,969)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(18,208)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(73,915)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(52,259)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(expenses) income:</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 and other, net</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issuance of Series A cumulative redeemable convertible preferred stock</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(84,174)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(84,174)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issuance of common stock</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issuance of common stock warrants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(123,328)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(123,328)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second lien loans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simple agreements for future equity</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(190,075)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redeemable convertible preferred stock warrant liabilities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(7,272)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expenses, net</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(239,966)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(437,927)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(2,844)</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before income taxes</w:t>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(269,935)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(19,144)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(511,842)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(55,103)</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and comprehensive loss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(269,935)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(19,144)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(511,846)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(55,107)</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per common share, basic and diluted</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 basic and diluted</w:t>
            </w:r>
          </w:p>
        </w:tc>
        <w:tc>
          <w:tcPr>
            <w:tcW w:w="134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69,405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62,978</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58,338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Kodiak AI,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 thousands; unaudited) </w:t>
      </w:r>
    </w:p>
    <w:tbl>
      <w:tblPr>
        <w:tblW w:w="10205" w:type="dxa"/>
        <w:jc w:val="left"/>
        <w:tblInd w:w="0" w:type="dxa"/>
        <w:tblLayout w:type="fixed"/>
        <w:tblCellMar>
          <w:top w:w="28" w:type="dxa"/>
          <w:left w:w="28" w:type="dxa"/>
          <w:bottom w:w="28" w:type="dxa"/>
          <w:right w:w="28" w:type="dxa"/>
        </w:tblCellMar>
      </w:tblPr>
      <w:tblGrid>
        <w:gridCol w:w="2586"/>
        <w:gridCol w:w="2184"/>
        <w:gridCol w:w="2188"/>
        <w:gridCol w:w="251"/>
        <w:gridCol w:w="1082"/>
        <w:gridCol w:w="129"/>
        <w:gridCol w:w="129"/>
        <w:gridCol w:w="129"/>
        <w:gridCol w:w="129"/>
        <w:gridCol w:w="251"/>
        <w:gridCol w:w="957"/>
        <w:gridCol w:w="190"/>
      </w:tblGrid>
      <w:tr>
        <w:trPr/>
        <w:tc>
          <w:tcPr>
            <w:tcW w:w="2586"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6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activities:</w:t>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(511,846)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(55,107)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Transaction costs allocated to common stock warrants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second lien loans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simple agreements for future equity</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190,075 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redeemable convertible preferred stock warrant liabilities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issuance of common stock</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issuance of Series A cumulative redeemable convertible preferred stock</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issuance of common stock warrants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123,328 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interest expense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disposal of property and equipment</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(4,589)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14,398 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(70,216)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(36,224)</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Investing activities:</w:t>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(11,881)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 of deposits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(11,881)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(773)</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Financing activities:</w:t>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 of debt</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(11,776)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issuance of second lien loans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issuance of simple agreements for future equity</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44,054 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issuance of the Series A cumulative redeemable convertible preferred stock</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77"/>
        <w:gridCol w:w="2349"/>
        <w:gridCol w:w="2358"/>
        <w:gridCol w:w="211"/>
        <w:gridCol w:w="856"/>
        <w:gridCol w:w="109"/>
        <w:gridCol w:w="109"/>
        <w:gridCol w:w="109"/>
        <w:gridCol w:w="109"/>
        <w:gridCol w:w="211"/>
        <w:gridCol w:w="751"/>
        <w:gridCol w:w="156"/>
      </w:tblGrid>
      <w:tr>
        <w:trPr/>
        <w:tc>
          <w:tcPr>
            <w:tcW w:w="2877"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the reverse recapitalization, net of transaction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for deferred offering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beginning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Components of cash and restricted cash at period end:</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cash and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disclosure of cash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disclosure of non-cash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 included in accounts payable and accrued expenses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of simple agreements for future equity into common stock in connection with reverse recapitalization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of legacy redeemable preferred stock into common stock in connection with reverse recapitalization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of second lien loans into common stock in connection with reverse recapitalization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Settlement of transaction costs in common stock in connection with reverse recapitalization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Exchange of simple agreements for future equity for second lien loan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exercise of warrants in connection with reverse recapitalization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non-redemption common stock in connection with reverse recapitalization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 assumed from reverse recapitalization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offering costs related to reverse recapitalization included in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Kodiak AI,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Reconciliation of GAAP to Non-GAAP Financial Information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 thousands; unaudited) </w:t>
      </w:r>
    </w:p>
    <w:tbl>
      <w:tblPr>
        <w:tblW w:w="10205" w:type="dxa"/>
        <w:jc w:val="center"/>
        <w:tblInd w:w="0" w:type="dxa"/>
        <w:tblLayout w:type="fixed"/>
        <w:tblCellMar>
          <w:top w:w="28" w:type="dxa"/>
          <w:left w:w="28" w:type="dxa"/>
          <w:bottom w:w="28" w:type="dxa"/>
          <w:right w:w="28" w:type="dxa"/>
        </w:tblCellMar>
      </w:tblPr>
      <w:tblGrid>
        <w:gridCol w:w="1358"/>
        <w:gridCol w:w="1178"/>
        <w:gridCol w:w="1184"/>
        <w:gridCol w:w="255"/>
        <w:gridCol w:w="960"/>
        <w:gridCol w:w="131"/>
        <w:gridCol w:w="131"/>
        <w:gridCol w:w="131"/>
        <w:gridCol w:w="131"/>
        <w:gridCol w:w="255"/>
        <w:gridCol w:w="960"/>
        <w:gridCol w:w="131"/>
        <w:gridCol w:w="109"/>
        <w:gridCol w:w="109"/>
        <w:gridCol w:w="109"/>
        <w:gridCol w:w="249"/>
        <w:gridCol w:w="936"/>
        <w:gridCol w:w="128"/>
        <w:gridCol w:w="128"/>
        <w:gridCol w:w="128"/>
        <w:gridCol w:w="128"/>
        <w:gridCol w:w="249"/>
        <w:gridCol w:w="936"/>
        <w:gridCol w:w="191"/>
      </w:tblGrid>
      <w:tr>
        <w:trPr/>
        <w:tc>
          <w:tcPr>
            <w:tcW w:w="135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Research and development expense reconciliation:</w:t>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GAAP research and development </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Non-GAAP research and development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30,656 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26,775 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General and administrative expense reconciliation:</w:t>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GAAP general and administrative </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Non-GAAP general and administrative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Truck and freight operations expense reconciliation:</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GAAP truck and freight operations </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Non-GAAP truck and freight operations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15,773 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 and marketing expense reconciliation:</w:t>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GAAP sales and marketing </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Non-GAAP sales and marketing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 reconciliation:</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operating expenses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operating expenses</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16,890 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66,523 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49,497 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from operations reconciliation:</w:t>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loss from operations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(29,969)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(73,915)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(52,259)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loss from operations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(24,724)</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(16,490)</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(63,779)</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(48,270)</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0" w:after="240"/>
        <w:jc w:val="center"/>
        <w:rPr>
          <w:rFonts w:ascii="Arial;sans-serif" w:hAnsi="Arial;sans-serif"/>
          <w:b/>
          <w:color w:val="000000"/>
          <w:sz w:val="20"/>
        </w:rPr>
      </w:pPr>
      <w:r>
        <w:rPr>
          <w:rFonts w:ascii="Arial;sans-serif" w:hAnsi="Arial;sans-serif"/>
          <w:b/>
          <w:color w:val="000000"/>
          <w:sz w:val="20"/>
        </w:rPr>
        <w:t>Kodiak AI,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Selected Cash Flow Information</w:t>
      </w:r>
    </w:p>
    <w:p>
      <w:pPr>
        <w:pStyle w:val="TextBody"/>
        <w:bidi w:val="0"/>
        <w:spacing w:lineRule="auto" w:line="288" w:before="0" w:after="480"/>
        <w:jc w:val="center"/>
        <w:rPr>
          <w:rFonts w:ascii="Arial;sans-serif" w:hAnsi="Arial;sans-serif"/>
          <w:b/>
          <w:color w:val="000000"/>
          <w:sz w:val="20"/>
        </w:rPr>
      </w:pPr>
      <w:r>
        <w:rPr>
          <w:rFonts w:ascii="Arial;sans-serif" w:hAnsi="Arial;sans-serif"/>
          <w:b/>
          <w:color w:val="000000"/>
          <w:sz w:val="20"/>
        </w:rPr>
        <w:t>(In thousands; unaudited)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Reconciliation of cash provided by operating activities to free cash flow</w:t>
      </w:r>
    </w:p>
    <w:tbl>
      <w:tblPr>
        <w:tblW w:w="10205" w:type="dxa"/>
        <w:jc w:val="left"/>
        <w:tblInd w:w="0" w:type="dxa"/>
        <w:tblLayout w:type="fixed"/>
        <w:tblCellMar>
          <w:top w:w="28" w:type="dxa"/>
          <w:left w:w="28" w:type="dxa"/>
          <w:bottom w:w="28" w:type="dxa"/>
          <w:right w:w="28" w:type="dxa"/>
        </w:tblCellMar>
      </w:tblPr>
      <w:tblGrid>
        <w:gridCol w:w="1242"/>
        <w:gridCol w:w="1068"/>
        <w:gridCol w:w="1076"/>
        <w:gridCol w:w="268"/>
        <w:gridCol w:w="1020"/>
        <w:gridCol w:w="138"/>
        <w:gridCol w:w="138"/>
        <w:gridCol w:w="138"/>
        <w:gridCol w:w="138"/>
        <w:gridCol w:w="268"/>
        <w:gridCol w:w="1020"/>
        <w:gridCol w:w="138"/>
        <w:gridCol w:w="109"/>
        <w:gridCol w:w="109"/>
        <w:gridCol w:w="109"/>
        <w:gridCol w:w="259"/>
        <w:gridCol w:w="989"/>
        <w:gridCol w:w="133"/>
        <w:gridCol w:w="133"/>
        <w:gridCol w:w="133"/>
        <w:gridCol w:w="133"/>
        <w:gridCol w:w="259"/>
        <w:gridCol w:w="989"/>
        <w:gridCol w:w="198"/>
      </w:tblGrid>
      <w:tr>
        <w:trPr/>
        <w:tc>
          <w:tcPr>
            <w:tcW w:w="124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cash used in operating activities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(33,357)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(70,216)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(36,224)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(40,002)</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(15,707)</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(82,097)</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(36,977)</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4054</Words>
  <Characters>23585</Characters>
  <CharactersWithSpaces>27182</CharactersWithSpaces>
  <Paragraphs>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