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888.xml.htm"/>
      <w:bookmarkStart w:id="1" w:name="kswkform4_17830248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Coleman Jordan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KODIAK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1049 TERRA BELLA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AI, Inc.</w:t>
              </w:r>
            </w:hyperlink>
            <w:r>
              <w:rPr/>
              <w:t xml:space="preserve"> [ </w:t>
            </w:r>
            <w:r>
              <w:rPr>
                <w:rFonts w:ascii="Times;serif" w:hAnsi="Times;serif"/>
                <w:color w:val="0000FF"/>
                <w:sz w:val="24"/>
                <w:shd w:fill="FFFFFF" w:val="clear"/>
              </w:rPr>
              <w:t>KDK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and Policy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292,153</w:t>
            </w:r>
            <w:r>
              <w:rPr>
                <w:rFonts w:ascii="Times;serif" w:hAnsi="Times;serif"/>
                <w:color w:val="008000"/>
                <w:position w:val="7"/>
                <w:sz w:val="16"/>
                <w:sz w:val="20"/>
                <w:shd w:fill="FFFFFF" w:val="clear"/>
              </w:rPr>
              <w:t>(1)(2)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296,624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One-eighth (1/8th) of the total number of RSUs subject to the Award will be scheduled to vest on the first Quarterly Vesting Date (as defined below) on or immediately following the date that is six (6) months following the Vesting Commencement Date (such first vesting date, the First Vesting Date), and thereafter, one-sixteenth (1/16th) of the total number of RSUs subject to the Award will be scheduled to vest on each of the next fourteen (14) consecutive Quarterly Vesting Dates that occur after the First Vesting Date, in each case subject to the Participant continuing to be a Service Provider through the applicable vesting date. Quarterly Vesting Dates means March 10, May 15, August 15, and November 15.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Bobby Brown,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470" TargetMode="External"/><Relationship Id="rId5" Type="http://schemas.openxmlformats.org/officeDocument/2006/relationships/hyperlink" Target="http://www.sec.gov/cgi-bin/browse-edgar?action=getcompany&amp;CIK=00018531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3794</Characters>
  <CharactersWithSpaces>4444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