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PROSPECTUS SUPPLEMENT NO. 1</w:t>
      </w:r>
    </w:p>
    <w:p>
      <w:pPr>
        <w:spacing w:after="0" w:line="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 Prospectus dated June 9, 2026)</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 w:lineRule="exact"/>
        <w:rPr>
          <w:sz w:val="24"/>
          <w:szCs w:val="24"/>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Registration No. 333-296358</w:t>
      </w:r>
    </w:p>
    <w:p>
      <w:pPr>
        <w:spacing w:after="0" w:line="200" w:lineRule="exact"/>
        <w:rPr>
          <w:sz w:val="24"/>
          <w:szCs w:val="24"/>
          <w:color w:val="auto"/>
        </w:rPr>
      </w:pPr>
    </w:p>
    <w:p>
      <w:pPr>
        <w:sectPr>
          <w:pgSz w:w="11900" w:h="16838" w:orient="portrait"/>
          <w:cols w:equalWidth="0" w:num="2">
            <w:col w:w="8020" w:space="720"/>
            <w:col w:w="2500"/>
          </w:cols>
          <w:pgMar w:left="320" w:top="1440" w:right="339" w:bottom="1440" w:gutter="0" w:footer="0" w:header="0"/>
        </w:sectPr>
      </w:pP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Kodiak AI,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138430</wp:posOffset>
            </wp:positionV>
            <wp:extent cx="488950" cy="488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4883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the information contained in the prospectus dated June 9, 2026 (as supplemented from time to time, the “Prospectus”) filed by Kodiak AI, Inc. (the “Company”) with the information contained in the Company’s Current Report on Form 8-K, filed with the SEC on June 15, 2026 (the “Form 8-K”). Accordingly, we have attached the Form 8-K to this prospectus supplement.</w:t>
      </w:r>
    </w:p>
    <w:p>
      <w:pPr>
        <w:spacing w:after="0" w:line="122"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26" w:lineRule="exact"/>
        <w:rPr>
          <w:sz w:val="24"/>
          <w:szCs w:val="24"/>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Our common stock and public warrants are listed on The Nasdaq Stock Market LLC (the “Nasdaq”) under the symbols “KDK” and “KDKRW,” respectively. On June 12, 2026, the last reported sales prices for our common stock and public warrants on the Nasdaq were $6.14 and $0.95, respectively.</w:t>
      </w:r>
    </w:p>
    <w:p>
      <w:pPr>
        <w:spacing w:after="0" w:line="82"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We are an “emerging growth company,” as defined under the federal securities laws, and, as such, may elect to comply with certain reduced public company reporting requirements.</w:t>
      </w:r>
    </w:p>
    <w:p>
      <w:pPr>
        <w:spacing w:after="0" w:line="105" w:lineRule="exact"/>
        <w:rPr>
          <w:sz w:val="24"/>
          <w:szCs w:val="24"/>
          <w:color w:val="auto"/>
        </w:rPr>
      </w:pPr>
    </w:p>
    <w:p>
      <w:pPr>
        <w:ind w:right="620"/>
        <w:spacing w:after="0" w:line="275"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Before buying any securities, you should carefully read the discussion of the risks of investing in our securities in “</w:t>
      </w:r>
      <w:r>
        <w:rPr>
          <w:rFonts w:ascii="Times New Roman" w:cs="Times New Roman" w:eastAsia="Times New Roman" w:hAnsi="Times New Roman"/>
          <w:sz w:val="22"/>
          <w:szCs w:val="22"/>
          <w:b w:val="1"/>
          <w:bCs w:val="1"/>
          <w:i w:val="1"/>
          <w:iCs w:val="1"/>
          <w:color w:val="auto"/>
        </w:rPr>
        <w:t>Risk Factors</w:t>
      </w:r>
      <w:r>
        <w:rPr>
          <w:rFonts w:ascii="Times New Roman" w:cs="Times New Roman" w:eastAsia="Times New Roman" w:hAnsi="Times New Roman"/>
          <w:sz w:val="22"/>
          <w:szCs w:val="22"/>
          <w:b w:val="1"/>
          <w:bCs w:val="1"/>
          <w:color w:val="auto"/>
        </w:rPr>
        <w:t>” beginning on page 12 of the Prospectus.</w:t>
      </w:r>
    </w:p>
    <w:p>
      <w:pPr>
        <w:spacing w:after="0" w:line="91" w:lineRule="exact"/>
        <w:rPr>
          <w:sz w:val="24"/>
          <w:szCs w:val="24"/>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15, 2026</w:t>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11, 2026</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Kodiak AI,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gridSpan w:val="3"/>
          </w:tcPr>
          <w:p>
            <w:pPr>
              <w:jc w:val="center"/>
              <w:ind w:right="85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00" w:type="dxa"/>
            <w:vAlign w:val="bottom"/>
            <w:gridSpan w:val="3"/>
          </w:tcPr>
          <w:p>
            <w:pPr>
              <w:jc w:val="center"/>
              <w:ind w:right="860"/>
              <w:spacing w:after="0"/>
              <w:rPr>
                <w:sz w:val="20"/>
                <w:szCs w:val="20"/>
                <w:color w:val="auto"/>
              </w:rPr>
            </w:pPr>
            <w:r>
              <w:rPr>
                <w:rFonts w:ascii="Times New Roman" w:cs="Times New Roman" w:eastAsia="Times New Roman" w:hAnsi="Times New Roman"/>
                <w:sz w:val="16"/>
                <w:szCs w:val="16"/>
                <w:b w:val="1"/>
                <w:bCs w:val="1"/>
                <w:color w:val="auto"/>
              </w:rPr>
              <w:t>001-41691</w:t>
            </w: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98-1592112</w:t>
            </w:r>
          </w:p>
        </w:tc>
        <w:tc>
          <w:tcPr>
            <w:tcW w:w="20" w:type="dxa"/>
            <w:vAlign w:val="bottom"/>
          </w:tcPr>
          <w:p>
            <w:pPr>
              <w:spacing w:after="0"/>
              <w:rPr>
                <w:sz w:val="18"/>
                <w:szCs w:val="18"/>
                <w:color w:val="auto"/>
              </w:rPr>
            </w:pPr>
          </w:p>
        </w:tc>
      </w:tr>
      <w:tr>
        <w:trPr>
          <w:trHeight w:val="158"/>
        </w:trPr>
        <w:tc>
          <w:tcPr>
            <w:tcW w:w="36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(State or other jurisdiction of</w:t>
            </w:r>
          </w:p>
        </w:tc>
        <w:tc>
          <w:tcPr>
            <w:tcW w:w="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800" w:type="dxa"/>
            <w:vAlign w:val="bottom"/>
            <w:tcBorders>
              <w:top w:val="single" w:sz="8" w:color="auto"/>
            </w:tcBorders>
            <w:gridSpan w:val="3"/>
          </w:tcPr>
          <w:p>
            <w:pPr>
              <w:jc w:val="center"/>
              <w:ind w:right="880"/>
              <w:spacing w:after="0" w:line="158" w:lineRule="exact"/>
              <w:rPr>
                <w:sz w:val="20"/>
                <w:szCs w:val="20"/>
                <w:color w:val="auto"/>
              </w:rPr>
            </w:pPr>
            <w:r>
              <w:rPr>
                <w:rFonts w:ascii="Times New Roman" w:cs="Times New Roman" w:eastAsia="Times New Roman" w:hAnsi="Times New Roman"/>
                <w:sz w:val="16"/>
                <w:szCs w:val="16"/>
                <w:b w:val="1"/>
                <w:bCs w:val="1"/>
                <w:color w:val="auto"/>
              </w:rPr>
              <w:t>(Commission File Number)</w:t>
            </w:r>
          </w:p>
        </w:tc>
        <w:tc>
          <w:tcPr>
            <w:tcW w:w="80" w:type="dxa"/>
            <w:vAlign w:val="bottom"/>
          </w:tcPr>
          <w:p>
            <w:pPr>
              <w:spacing w:after="0"/>
              <w:rPr>
                <w:sz w:val="13"/>
                <w:szCs w:val="13"/>
                <w:color w:val="auto"/>
              </w:rPr>
            </w:pPr>
          </w:p>
        </w:tc>
        <w:tc>
          <w:tcPr>
            <w:tcW w:w="37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(I.R.S. Employer</w:t>
            </w:r>
          </w:p>
        </w:tc>
        <w:tc>
          <w:tcPr>
            <w:tcW w:w="20" w:type="dxa"/>
            <w:vAlign w:val="bottom"/>
          </w:tcPr>
          <w:p>
            <w:pPr>
              <w:spacing w:after="0"/>
              <w:rPr>
                <w:sz w:val="13"/>
                <w:szCs w:val="13"/>
                <w:color w:val="auto"/>
              </w:rPr>
            </w:pPr>
          </w:p>
        </w:tc>
      </w:tr>
      <w:tr>
        <w:trPr>
          <w:trHeight w:val="212"/>
        </w:trPr>
        <w:tc>
          <w:tcPr>
            <w:tcW w:w="4640" w:type="dxa"/>
            <w:vAlign w:val="bottom"/>
            <w:gridSpan w:val="3"/>
          </w:tcPr>
          <w:p>
            <w:pPr>
              <w:jc w:val="center"/>
              <w:ind w:right="879"/>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Identification Number)</w:t>
            </w:r>
          </w:p>
        </w:tc>
        <w:tc>
          <w:tcPr>
            <w:tcW w:w="20" w:type="dxa"/>
            <w:vAlign w:val="bottom"/>
          </w:tcPr>
          <w:p>
            <w:pPr>
              <w:spacing w:after="0"/>
              <w:rPr>
                <w:sz w:val="18"/>
                <w:szCs w:val="18"/>
                <w:color w:val="auto"/>
              </w:rPr>
            </w:pPr>
          </w:p>
        </w:tc>
      </w:tr>
      <w:tr>
        <w:trPr>
          <w:trHeight w:val="608"/>
        </w:trPr>
        <w:tc>
          <w:tcPr>
            <w:tcW w:w="4640" w:type="dxa"/>
            <w:vAlign w:val="bottom"/>
            <w:tcBorders>
              <w:bottom w:val="single" w:sz="8" w:color="auto"/>
            </w:tcBorders>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1049 Terra Bella Avenue, Mountain View, California</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479"/>
              <w:spacing w:after="0"/>
              <w:rPr>
                <w:sz w:val="20"/>
                <w:szCs w:val="20"/>
                <w:color w:val="auto"/>
              </w:rPr>
            </w:pPr>
            <w:r>
              <w:rPr>
                <w:rFonts w:ascii="Times New Roman" w:cs="Times New Roman" w:eastAsia="Times New Roman" w:hAnsi="Times New Roman"/>
                <w:sz w:val="16"/>
                <w:szCs w:val="16"/>
                <w:b w:val="1"/>
                <w:bCs w:val="1"/>
                <w:color w:val="auto"/>
              </w:rPr>
              <w:t>94043</w:t>
            </w:r>
          </w:p>
        </w:tc>
        <w:tc>
          <w:tcPr>
            <w:tcW w:w="20" w:type="dxa"/>
            <w:vAlign w:val="bottom"/>
            <w:tcBorders>
              <w:bottom w:val="single" w:sz="8" w:color="auto"/>
            </w:tcBorders>
          </w:tcPr>
          <w:p>
            <w:pPr>
              <w:spacing w:after="0"/>
              <w:rPr>
                <w:sz w:val="24"/>
                <w:szCs w:val="24"/>
                <w:color w:val="auto"/>
              </w:rPr>
            </w:pPr>
          </w:p>
        </w:tc>
      </w:tr>
      <w:tr>
        <w:trPr>
          <w:trHeight w:val="209"/>
        </w:trPr>
        <w:tc>
          <w:tcPr>
            <w:tcW w:w="4640" w:type="dxa"/>
            <w:vAlign w:val="bottom"/>
            <w:gridSpan w:val="3"/>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jc w:val="center"/>
              <w:ind w:right="1759"/>
              <w:spacing w:after="0"/>
              <w:rPr>
                <w:sz w:val="20"/>
                <w:szCs w:val="20"/>
                <w:color w:val="auto"/>
              </w:rPr>
            </w:pPr>
            <w:r>
              <w:rPr>
                <w:rFonts w:ascii="Times New Roman" w:cs="Times New Roman" w:eastAsia="Times New Roman" w:hAnsi="Times New Roman"/>
                <w:sz w:val="16"/>
                <w:szCs w:val="16"/>
                <w:b w:val="1"/>
                <w:bCs w:val="1"/>
                <w:color w:val="auto"/>
                <w:w w:val="99"/>
              </w:rPr>
              <w:t>(Zip Code)</w:t>
            </w:r>
          </w:p>
        </w:tc>
        <w:tc>
          <w:tcPr>
            <w:tcW w:w="20" w:type="dxa"/>
            <w:vAlign w:val="bottom"/>
          </w:tcPr>
          <w:p>
            <w:pPr>
              <w:spacing w:after="0"/>
              <w:rPr>
                <w:sz w:val="18"/>
                <w:szCs w:val="18"/>
                <w:color w:val="auto"/>
              </w:rPr>
            </w:pPr>
          </w:p>
        </w:tc>
      </w:tr>
      <w:tr>
        <w:trPr>
          <w:trHeight w:val="322"/>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0" w:type="dxa"/>
            <w:vAlign w:val="bottom"/>
            <w:gridSpan w:val="3"/>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(650) 209-8005</w:t>
            </w:r>
          </w:p>
        </w:tc>
        <w:tc>
          <w:tcPr>
            <w:tcW w:w="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60" w:type="dxa"/>
            <w:vAlign w:val="bottom"/>
            <w:gridSpan w:val="5"/>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Written communications pursuant to Rule 425 under the Securities Act (17 CFR 230.425)</w:t>
      </w:r>
    </w:p>
    <w:p>
      <w:pPr>
        <w:spacing w:after="0" w:line="15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4"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w:t>
            </w:r>
          </w:p>
        </w:tc>
        <w:tc>
          <w:tcPr>
            <w:tcW w:w="0" w:type="dxa"/>
            <w:vAlign w:val="bottom"/>
          </w:tcPr>
          <w:p>
            <w:pPr>
              <w:spacing w:after="0"/>
              <w:rPr>
                <w:sz w:val="1"/>
                <w:szCs w:val="1"/>
                <w:color w:val="auto"/>
              </w:rPr>
            </w:pPr>
          </w:p>
        </w:tc>
      </w:tr>
      <w:tr>
        <w:trPr>
          <w:trHeight w:val="214"/>
        </w:trPr>
        <w:tc>
          <w:tcPr>
            <w:tcW w:w="3760" w:type="dxa"/>
            <w:vAlign w:val="bottom"/>
            <w:gridSpan w:val="2"/>
            <w:vMerge w:val="continue"/>
          </w:tcPr>
          <w:p>
            <w:pPr>
              <w:spacing w:after="0"/>
              <w:rPr>
                <w:sz w:val="18"/>
                <w:szCs w:val="18"/>
                <w:color w:val="auto"/>
              </w:rPr>
            </w:pPr>
          </w:p>
        </w:tc>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exchange on which registered</w:t>
            </w:r>
          </w:p>
        </w:tc>
        <w:tc>
          <w:tcPr>
            <w:tcW w:w="0" w:type="dxa"/>
            <w:vAlign w:val="bottom"/>
          </w:tcPr>
          <w:p>
            <w:pPr>
              <w:spacing w:after="0"/>
              <w:rPr>
                <w:sz w:val="1"/>
                <w:szCs w:val="1"/>
                <w:color w:val="auto"/>
              </w:rPr>
            </w:pPr>
          </w:p>
        </w:tc>
      </w:tr>
      <w:tr>
        <w:trPr>
          <w:trHeight w:val="206"/>
        </w:trPr>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80" w:type="dxa"/>
            <w:vAlign w:val="bottom"/>
          </w:tcPr>
          <w:p>
            <w:pPr>
              <w:spacing w:after="0"/>
              <w:rPr>
                <w:sz w:val="17"/>
                <w:szCs w:val="17"/>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KDK</w:t>
            </w:r>
          </w:p>
        </w:tc>
        <w:tc>
          <w:tcPr>
            <w:tcW w:w="80" w:type="dxa"/>
            <w:vAlign w:val="bottom"/>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451"/>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Redeemable warrants, each exercisable for one share of</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KDKRW</w:t>
            </w:r>
          </w:p>
        </w:tc>
        <w:tc>
          <w:tcPr>
            <w:tcW w:w="3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0"/>
        </w:trPr>
        <w:tc>
          <w:tcPr>
            <w:tcW w:w="376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rPr>
              <w:t>common stock at an exercise price of $9.28</w:t>
            </w:r>
          </w:p>
        </w:tc>
        <w:tc>
          <w:tcPr>
            <w:tcW w:w="3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right="58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or Rule 12b-2 of the Securities Exchange Act of 1934 (§ 240.12b-2).</w:t>
      </w:r>
    </w:p>
    <w:p>
      <w:pPr>
        <w:spacing w:after="0" w:line="7"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0"/>
          <w:szCs w:val="20"/>
          <w:color w:val="auto"/>
        </w:rPr>
      </w:pPr>
    </w:p>
    <w:p>
      <w:pPr>
        <w:ind w:right="580"/>
        <w:spacing w:after="0" w:line="33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ectPr>
          <w:pgSz w:w="11900" w:h="16838" w:orient="portrait"/>
          <w:cols w:equalWidth="0" w:num="1">
            <w:col w:w="11240"/>
          </w:cols>
          <w:pgMar w:left="320" w:top="997" w:right="339" w:bottom="1440" w:gutter="0" w:footer="0" w:header="0"/>
        </w:sectPr>
      </w:pPr>
    </w:p>
    <w:bookmarkStart w:id="2" w:name="page3"/>
    <w:bookmarkEnd w:id="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auto"/>
        </w:rPr>
        <w:t>Kodiak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held its 2026 Annual Meeting of Stockholders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on June 11, 2026. The matters submitted to a vote at the Annual Meeting and the final voting results of such matters were as follows: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election of two Class I directors to hold office until the Company’s 2029 annual meeting of stockholders and until their respective successors are elected and qualified or until their earlier death, resignation or removal. The final voting results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25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7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384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8"/>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 Burnette</w:t>
            </w:r>
          </w:p>
        </w:tc>
        <w:tc>
          <w:tcPr>
            <w:tcW w:w="2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132,630,705</w:t>
            </w:r>
          </w:p>
        </w:tc>
        <w:tc>
          <w:tcPr>
            <w:tcW w:w="2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89,913</w:t>
            </w:r>
          </w:p>
        </w:tc>
        <w:tc>
          <w:tcPr>
            <w:tcW w:w="3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2,294,131</w:t>
            </w:r>
          </w:p>
        </w:tc>
      </w:tr>
      <w:tr>
        <w:trPr>
          <w:trHeight w:val="234"/>
        </w:trPr>
        <w:tc>
          <w:tcPr>
            <w:tcW w:w="2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Kristin Sverchek</w:t>
            </w:r>
          </w:p>
        </w:tc>
        <w:tc>
          <w:tcPr>
            <w:tcW w:w="2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130,387,753</w:t>
            </w:r>
          </w:p>
        </w:tc>
        <w:tc>
          <w:tcPr>
            <w:tcW w:w="27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2,332,865</w:t>
            </w:r>
          </w:p>
        </w:tc>
        <w:tc>
          <w:tcPr>
            <w:tcW w:w="3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2,294,131</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fiscal year ending December 31, 2026. The final voting results were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8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7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37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8"/>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134,941,047</w:t>
            </w:r>
          </w:p>
        </w:tc>
        <w:tc>
          <w:tcPr>
            <w:tcW w:w="28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23,120</w:t>
            </w:r>
          </w:p>
        </w:tc>
        <w:tc>
          <w:tcPr>
            <w:tcW w:w="27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50,582</w:t>
            </w:r>
          </w:p>
        </w:tc>
        <w:tc>
          <w:tcPr>
            <w:tcW w:w="37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00" w:type="dxa"/>
            <w:vAlign w:val="bottom"/>
          </w:tcPr>
          <w:p>
            <w:pPr>
              <w:ind w:left="3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9"/>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900" w:type="dxa"/>
            <w:vAlign w:val="bottom"/>
            <w:tcBorders>
              <w:bottom w:val="single" w:sz="8" w:color="auto"/>
            </w:tcBorders>
          </w:tcPr>
          <w:p>
            <w:pPr>
              <w:spacing w:after="0"/>
              <w:rPr>
                <w:sz w:val="2"/>
                <w:szCs w:val="2"/>
                <w:color w:val="auto"/>
              </w:rPr>
            </w:pPr>
          </w:p>
        </w:tc>
      </w:tr>
      <w:tr>
        <w:trPr>
          <w:trHeight w:val="22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bl>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KODIAK AI, INC.</w:t>
      </w:r>
    </w:p>
    <w:p>
      <w:pPr>
        <w:spacing w:after="0" w:line="297"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Surajit Datta</w:t>
            </w:r>
          </w:p>
        </w:tc>
      </w:tr>
      <w:tr>
        <w:trPr>
          <w:trHeight w:val="2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Surajit Datta</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15, 2026</w:t>
      </w:r>
    </w:p>
    <w:p>
      <w:pPr>
        <w:sectPr>
          <w:pgSz w:w="11900" w:h="16838" w:orient="portrait"/>
          <w:cols w:equalWidth="0" w:num="1">
            <w:col w:w="11200"/>
          </w:cols>
          <w:pgMar w:left="320" w:top="1440"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2026-06-15T15:17:46Z</dcterms:created>
  <dcterms:modified xsi:type="dcterms:W3CDTF">2026-06-15T15:17:46Z</dcterms:modified>
</cp:coreProperties>
</file>