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7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1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Pursuant to Section 13 or 15(d)</w:t>
      </w:r>
    </w:p>
    <w:p>
      <w:pPr>
        <w:jc w:val="center"/>
        <w:spacing w:after="0"/>
        <w:rPr>
          <w:sz w:val="20"/>
          <w:szCs w:val="20"/>
          <w:color w:val="auto"/>
        </w:rPr>
      </w:pPr>
      <w:r>
        <w:rPr>
          <w:rFonts w:ascii="Times New Roman" w:cs="Times New Roman" w:eastAsia="Times New Roman" w:hAnsi="Times New Roman"/>
          <w:sz w:val="20"/>
          <w:szCs w:val="20"/>
          <w:b w:val="1"/>
          <w:bCs w:val="1"/>
          <w:color w:val="auto"/>
        </w:rPr>
        <w:t>of the Securities Exchange Act of 1934</w:t>
      </w:r>
    </w:p>
    <w:p>
      <w:pPr>
        <w:spacing w:after="0" w:line="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Date of report (Date of earliest event reported): May 7, 2026</w:t>
      </w:r>
    </w:p>
    <w:p>
      <w:pPr>
        <w:spacing w:after="0" w:line="5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Kodiak AI, Inc.</w:t>
      </w:r>
    </w:p>
    <w:p>
      <w:pPr>
        <w:spacing w:after="0" w:line="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336" w:lineRule="exact"/>
        <w:rPr>
          <w:sz w:val="24"/>
          <w:szCs w:val="24"/>
          <w:color w:val="auto"/>
        </w:rPr>
      </w:pPr>
    </w:p>
    <w:tbl>
      <w:tblPr>
        <w:tblLayout w:type="fixed"/>
        <w:tblInd w:w="0" w:type="dxa"/>
        <w:tblCellMar>
          <w:top w:w="0" w:type="dxa"/>
          <w:left w:w="0" w:type="dxa"/>
          <w:bottom w:w="0" w:type="dxa"/>
          <w:right w:w="0" w:type="dxa"/>
        </w:tblCellMar>
      </w:tblPr>
      <w:tr>
        <w:trPr>
          <w:trHeight w:val="225"/>
        </w:trPr>
        <w:tc>
          <w:tcPr>
            <w:tcW w:w="3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100" w:type="dxa"/>
            <w:vAlign w:val="bottom"/>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2820" w:type="dxa"/>
            <w:vAlign w:val="bottom"/>
            <w:tcBorders>
              <w:bottom w:val="single" w:sz="8" w:color="auto"/>
            </w:tcBorders>
            <w:gridSpan w:val="3"/>
          </w:tcPr>
          <w:p>
            <w:pPr>
              <w:jc w:val="center"/>
              <w:ind w:right="880"/>
              <w:spacing w:after="0"/>
              <w:rPr>
                <w:sz w:val="20"/>
                <w:szCs w:val="20"/>
                <w:color w:val="auto"/>
              </w:rPr>
            </w:pPr>
            <w:r>
              <w:rPr>
                <w:rFonts w:ascii="Times New Roman" w:cs="Times New Roman" w:eastAsia="Times New Roman" w:hAnsi="Times New Roman"/>
                <w:sz w:val="16"/>
                <w:szCs w:val="16"/>
                <w:b w:val="1"/>
                <w:bCs w:val="1"/>
                <w:color w:val="auto"/>
              </w:rPr>
              <w:t>001-41691</w:t>
            </w:r>
          </w:p>
        </w:tc>
        <w:tc>
          <w:tcPr>
            <w:tcW w:w="100" w:type="dxa"/>
            <w:vAlign w:val="bottom"/>
          </w:tcPr>
          <w:p>
            <w:pPr>
              <w:spacing w:after="0"/>
              <w:rPr>
                <w:sz w:val="19"/>
                <w:szCs w:val="19"/>
                <w:color w:val="auto"/>
              </w:rPr>
            </w:pPr>
          </w:p>
        </w:tc>
        <w:tc>
          <w:tcPr>
            <w:tcW w:w="3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98-1592112</w:t>
            </w:r>
          </w:p>
        </w:tc>
      </w:tr>
      <w:tr>
        <w:trPr>
          <w:trHeight w:val="200"/>
        </w:trPr>
        <w:tc>
          <w:tcPr>
            <w:tcW w:w="4640" w:type="dxa"/>
            <w:vAlign w:val="bottom"/>
            <w:gridSpan w:val="3"/>
          </w:tcPr>
          <w:p>
            <w:pPr>
              <w:jc w:val="center"/>
              <w:ind w:right="859"/>
              <w:spacing w:after="0"/>
              <w:rPr>
                <w:sz w:val="20"/>
                <w:szCs w:val="20"/>
                <w:color w:val="auto"/>
              </w:rPr>
            </w:pPr>
            <w:r>
              <w:rPr>
                <w:rFonts w:ascii="Times New Roman" w:cs="Times New Roman" w:eastAsia="Times New Roman" w:hAnsi="Times New Roman"/>
                <w:sz w:val="16"/>
                <w:szCs w:val="16"/>
                <w:b w:val="1"/>
                <w:bCs w:val="1"/>
                <w:color w:val="auto"/>
              </w:rPr>
              <w:t>(State or other jurisdiction of</w:t>
            </w:r>
          </w:p>
        </w:tc>
        <w:tc>
          <w:tcPr>
            <w:tcW w:w="2920" w:type="dxa"/>
            <w:vAlign w:val="bottom"/>
            <w:gridSpan w:val="4"/>
          </w:tcPr>
          <w:p>
            <w:pPr>
              <w:jc w:val="center"/>
              <w:ind w:right="960"/>
              <w:spacing w:after="0"/>
              <w:rPr>
                <w:sz w:val="20"/>
                <w:szCs w:val="20"/>
                <w:color w:val="auto"/>
              </w:rPr>
            </w:pPr>
            <w:r>
              <w:rPr>
                <w:rFonts w:ascii="Times New Roman" w:cs="Times New Roman" w:eastAsia="Times New Roman" w:hAnsi="Times New Roman"/>
                <w:sz w:val="16"/>
                <w:szCs w:val="16"/>
                <w:b w:val="1"/>
                <w:bCs w:val="1"/>
                <w:color w:val="auto"/>
              </w:rPr>
              <w:t>(Commission File Number)</w:t>
            </w:r>
          </w:p>
        </w:tc>
        <w:tc>
          <w:tcPr>
            <w:tcW w:w="36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(I.R.S. Employer</w:t>
            </w:r>
          </w:p>
        </w:tc>
      </w:tr>
      <w:tr>
        <w:trPr>
          <w:trHeight w:val="212"/>
        </w:trPr>
        <w:tc>
          <w:tcPr>
            <w:tcW w:w="4640" w:type="dxa"/>
            <w:vAlign w:val="bottom"/>
            <w:gridSpan w:val="3"/>
          </w:tcPr>
          <w:p>
            <w:pPr>
              <w:jc w:val="center"/>
              <w:ind w:right="879"/>
              <w:spacing w:after="0"/>
              <w:rPr>
                <w:sz w:val="20"/>
                <w:szCs w:val="20"/>
                <w:color w:val="auto"/>
              </w:rPr>
            </w:pPr>
            <w:r>
              <w:rPr>
                <w:rFonts w:ascii="Times New Roman" w:cs="Times New Roman" w:eastAsia="Times New Roman" w:hAnsi="Times New Roman"/>
                <w:sz w:val="16"/>
                <w:szCs w:val="16"/>
                <w:b w:val="1"/>
                <w:bCs w:val="1"/>
                <w:color w:val="auto"/>
              </w:rPr>
              <w:t>incorporation or organization)</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Identification Number)</w:t>
            </w:r>
          </w:p>
        </w:tc>
      </w:tr>
      <w:tr>
        <w:trPr>
          <w:trHeight w:val="513"/>
        </w:trPr>
        <w:tc>
          <w:tcPr>
            <w:tcW w:w="4640" w:type="dxa"/>
            <w:vAlign w:val="bottom"/>
            <w:tcBorders>
              <w:bottom w:val="single" w:sz="8" w:color="auto"/>
            </w:tcBorders>
            <w:gridSpan w:val="3"/>
          </w:tcPr>
          <w:p>
            <w:pPr>
              <w:jc w:val="center"/>
              <w:ind w:left="859"/>
              <w:spacing w:after="0"/>
              <w:rPr>
                <w:sz w:val="20"/>
                <w:szCs w:val="20"/>
                <w:color w:val="auto"/>
              </w:rPr>
            </w:pPr>
            <w:r>
              <w:rPr>
                <w:rFonts w:ascii="Times New Roman" w:cs="Times New Roman" w:eastAsia="Times New Roman" w:hAnsi="Times New Roman"/>
                <w:sz w:val="16"/>
                <w:szCs w:val="16"/>
                <w:b w:val="1"/>
                <w:bCs w:val="1"/>
                <w:color w:val="auto"/>
                <w:w w:val="99"/>
              </w:rPr>
              <w:t>1049 Terra Bella Avenue, Mountain View, California</w:t>
            </w:r>
          </w:p>
        </w:tc>
        <w:tc>
          <w:tcPr>
            <w:tcW w:w="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680" w:type="dxa"/>
            <w:vAlign w:val="bottom"/>
            <w:tcBorders>
              <w:bottom w:val="single" w:sz="8" w:color="auto"/>
            </w:tcBorders>
          </w:tcPr>
          <w:p>
            <w:pPr>
              <w:jc w:val="right"/>
              <w:ind w:right="2499"/>
              <w:spacing w:after="0"/>
              <w:rPr>
                <w:sz w:val="20"/>
                <w:szCs w:val="20"/>
                <w:color w:val="auto"/>
              </w:rPr>
            </w:pPr>
            <w:r>
              <w:rPr>
                <w:rFonts w:ascii="Times New Roman" w:cs="Times New Roman" w:eastAsia="Times New Roman" w:hAnsi="Times New Roman"/>
                <w:sz w:val="16"/>
                <w:szCs w:val="16"/>
                <w:b w:val="1"/>
                <w:bCs w:val="1"/>
                <w:color w:val="auto"/>
              </w:rPr>
              <w:t>94043</w:t>
            </w:r>
          </w:p>
        </w:tc>
      </w:tr>
      <w:tr>
        <w:trPr>
          <w:trHeight w:val="223"/>
        </w:trPr>
        <w:tc>
          <w:tcPr>
            <w:tcW w:w="4640" w:type="dxa"/>
            <w:vAlign w:val="bottom"/>
            <w:gridSpan w:val="3"/>
          </w:tcPr>
          <w:p>
            <w:pPr>
              <w:jc w:val="center"/>
              <w:ind w:left="839"/>
              <w:spacing w:after="0"/>
              <w:rPr>
                <w:sz w:val="20"/>
                <w:szCs w:val="20"/>
                <w:color w:val="auto"/>
              </w:rPr>
            </w:pPr>
            <w:r>
              <w:rPr>
                <w:rFonts w:ascii="Times New Roman" w:cs="Times New Roman" w:eastAsia="Times New Roman" w:hAnsi="Times New Roman"/>
                <w:sz w:val="16"/>
                <w:szCs w:val="16"/>
                <w:b w:val="1"/>
                <w:bCs w:val="1"/>
                <w:color w:val="auto"/>
              </w:rPr>
              <w:t>(Address of principal executive offices)</w:t>
            </w: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80" w:type="dxa"/>
            <w:vAlign w:val="bottom"/>
          </w:tcPr>
          <w:p>
            <w:pPr>
              <w:jc w:val="center"/>
              <w:ind w:right="1819"/>
              <w:spacing w:after="0"/>
              <w:rPr>
                <w:sz w:val="20"/>
                <w:szCs w:val="20"/>
                <w:color w:val="auto"/>
              </w:rPr>
            </w:pPr>
            <w:r>
              <w:rPr>
                <w:rFonts w:ascii="Times New Roman" w:cs="Times New Roman" w:eastAsia="Times New Roman" w:hAnsi="Times New Roman"/>
                <w:sz w:val="16"/>
                <w:szCs w:val="16"/>
                <w:b w:val="1"/>
                <w:bCs w:val="1"/>
                <w:color w:val="auto"/>
                <w:w w:val="99"/>
              </w:rPr>
              <w:t>(Zip Code)</w:t>
            </w:r>
          </w:p>
        </w:tc>
      </w:tr>
      <w:tr>
        <w:trPr>
          <w:trHeight w:val="287"/>
        </w:trPr>
        <w:tc>
          <w:tcPr>
            <w:tcW w:w="3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20" w:type="dxa"/>
            <w:vAlign w:val="bottom"/>
            <w:gridSpan w:val="3"/>
          </w:tcPr>
          <w:p>
            <w:pPr>
              <w:jc w:val="center"/>
              <w:ind w:right="840"/>
              <w:spacing w:after="0"/>
              <w:rPr>
                <w:sz w:val="20"/>
                <w:szCs w:val="20"/>
                <w:color w:val="auto"/>
              </w:rPr>
            </w:pPr>
            <w:r>
              <w:rPr>
                <w:rFonts w:ascii="Times New Roman" w:cs="Times New Roman" w:eastAsia="Times New Roman" w:hAnsi="Times New Roman"/>
                <w:sz w:val="16"/>
                <w:szCs w:val="16"/>
                <w:b w:val="1"/>
                <w:bCs w:val="1"/>
                <w:color w:val="auto"/>
              </w:rPr>
              <w:t>(650) 209-8005</w:t>
            </w:r>
          </w:p>
        </w:tc>
        <w:tc>
          <w:tcPr>
            <w:tcW w:w="100" w:type="dxa"/>
            <w:vAlign w:val="bottom"/>
          </w:tcPr>
          <w:p>
            <w:pPr>
              <w:spacing w:after="0"/>
              <w:rPr>
                <w:sz w:val="24"/>
                <w:szCs w:val="24"/>
                <w:color w:val="auto"/>
              </w:rPr>
            </w:pPr>
          </w:p>
        </w:tc>
        <w:tc>
          <w:tcPr>
            <w:tcW w:w="3680" w:type="dxa"/>
            <w:vAlign w:val="bottom"/>
          </w:tcPr>
          <w:p>
            <w:pPr>
              <w:spacing w:after="0"/>
              <w:rPr>
                <w:sz w:val="24"/>
                <w:szCs w:val="24"/>
                <w:color w:val="auto"/>
              </w:rPr>
            </w:pPr>
          </w:p>
        </w:tc>
      </w:tr>
      <w:tr>
        <w:trPr>
          <w:trHeight w:val="212"/>
        </w:trPr>
        <w:tc>
          <w:tcPr>
            <w:tcW w:w="3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780" w:type="dxa"/>
            <w:vAlign w:val="bottom"/>
            <w:gridSpan w:val="5"/>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w:t>
            </w:r>
          </w:p>
        </w:tc>
        <w:tc>
          <w:tcPr>
            <w:tcW w:w="3680" w:type="dxa"/>
            <w:vAlign w:val="bottom"/>
          </w:tcPr>
          <w:p>
            <w:pPr>
              <w:spacing w:after="0"/>
              <w:rPr>
                <w:sz w:val="18"/>
                <w:szCs w:val="18"/>
                <w:color w:val="auto"/>
              </w:rPr>
            </w:pPr>
          </w:p>
        </w:tc>
      </w:tr>
    </w:tbl>
    <w:p>
      <w:pPr>
        <w:spacing w:after="0" w:line="19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 Applicable</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(Former name or former address, if changed since last report)</w:t>
      </w:r>
    </w:p>
    <w:p>
      <w:pPr>
        <w:spacing w:after="0" w:line="105"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113" w:lineRule="exact"/>
        <w:rPr>
          <w:sz w:val="24"/>
          <w:szCs w:val="24"/>
          <w:color w:val="auto"/>
        </w:rPr>
      </w:pPr>
    </w:p>
    <w:p>
      <w:pPr>
        <w:spacing w:after="0"/>
        <w:rPr>
          <w:sz w:val="20"/>
          <w:szCs w:val="20"/>
          <w:color w:val="auto"/>
        </w:rPr>
      </w:pPr>
      <w:r>
        <w:rPr>
          <w:rFonts w:ascii="Wingdings" w:cs="Wingdings" w:eastAsia="Wingdings" w:hAnsi="Wingdings"/>
          <w:sz w:val="16"/>
          <w:szCs w:val="16"/>
          <w:b w:val="1"/>
          <w:bCs w:val="1"/>
          <w:color w:val="auto"/>
        </w:rPr>
        <w:t xml:space="preserve">o </w:t>
      </w:r>
      <w:r>
        <w:rPr>
          <w:rFonts w:ascii="Times New Roman" w:cs="Times New Roman" w:eastAsia="Times New Roman" w:hAnsi="Times New Roman"/>
          <w:sz w:val="16"/>
          <w:szCs w:val="16"/>
          <w:color w:val="auto"/>
        </w:rPr>
        <w:t>Written communications pursuant to Rule 425 under the Securities Act (17 CFR 230.425)</w:t>
      </w:r>
    </w:p>
    <w:p>
      <w:pPr>
        <w:spacing w:after="0" w:line="127" w:lineRule="exact"/>
        <w:rPr>
          <w:sz w:val="24"/>
          <w:szCs w:val="24"/>
          <w:color w:val="auto"/>
        </w:rPr>
      </w:pPr>
    </w:p>
    <w:p>
      <w:pPr>
        <w:spacing w:after="0"/>
        <w:rPr>
          <w:sz w:val="20"/>
          <w:szCs w:val="20"/>
          <w:color w:val="auto"/>
        </w:rPr>
      </w:pPr>
      <w:r>
        <w:rPr>
          <w:rFonts w:ascii="Wingdings" w:cs="Wingdings" w:eastAsia="Wingdings" w:hAnsi="Wingdings"/>
          <w:sz w:val="16"/>
          <w:szCs w:val="16"/>
          <w:b w:val="1"/>
          <w:bCs w:val="1"/>
          <w:color w:val="auto"/>
        </w:rPr>
        <w:t xml:space="preserve">o </w:t>
      </w:r>
      <w:r>
        <w:rPr>
          <w:rFonts w:ascii="Times New Roman" w:cs="Times New Roman" w:eastAsia="Times New Roman" w:hAnsi="Times New Roman"/>
          <w:sz w:val="16"/>
          <w:szCs w:val="16"/>
          <w:color w:val="auto"/>
        </w:rPr>
        <w:t>Soliciting material pursuant to Rule 14a-12 under the Exchange Act (17 CFR 240.14a-12)</w:t>
      </w:r>
    </w:p>
    <w:p>
      <w:pPr>
        <w:spacing w:after="0" w:line="113" w:lineRule="exact"/>
        <w:rPr>
          <w:sz w:val="24"/>
          <w:szCs w:val="24"/>
          <w:color w:val="auto"/>
        </w:rPr>
      </w:pPr>
    </w:p>
    <w:p>
      <w:pPr>
        <w:spacing w:after="0"/>
        <w:rPr>
          <w:sz w:val="20"/>
          <w:szCs w:val="20"/>
          <w:color w:val="auto"/>
        </w:rPr>
      </w:pPr>
      <w:r>
        <w:rPr>
          <w:rFonts w:ascii="Wingdings" w:cs="Wingdings" w:eastAsia="Wingdings" w:hAnsi="Wingdings"/>
          <w:sz w:val="16"/>
          <w:szCs w:val="16"/>
          <w:b w:val="1"/>
          <w:bCs w:val="1"/>
          <w:color w:val="auto"/>
        </w:rPr>
        <w:t xml:space="preserve">o </w:t>
      </w: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127" w:lineRule="exact"/>
        <w:rPr>
          <w:sz w:val="24"/>
          <w:szCs w:val="24"/>
          <w:color w:val="auto"/>
        </w:rPr>
      </w:pPr>
    </w:p>
    <w:p>
      <w:pPr>
        <w:spacing w:after="0"/>
        <w:rPr>
          <w:sz w:val="20"/>
          <w:szCs w:val="20"/>
          <w:color w:val="auto"/>
        </w:rPr>
      </w:pPr>
      <w:r>
        <w:rPr>
          <w:rFonts w:ascii="Wingdings" w:cs="Wingdings" w:eastAsia="Wingdings" w:hAnsi="Wingdings"/>
          <w:sz w:val="16"/>
          <w:szCs w:val="16"/>
          <w:b w:val="1"/>
          <w:bCs w:val="1"/>
          <w:color w:val="auto"/>
        </w:rPr>
        <w:t xml:space="preserve">o </w:t>
      </w: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11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354" w:lineRule="exact"/>
        <w:rPr>
          <w:sz w:val="24"/>
          <w:szCs w:val="24"/>
          <w:color w:val="auto"/>
        </w:rPr>
      </w:pPr>
    </w:p>
    <w:tbl>
      <w:tblPr>
        <w:tblLayout w:type="fixed"/>
        <w:tblInd w:w="0" w:type="dxa"/>
        <w:tblCellMar>
          <w:top w:w="0" w:type="dxa"/>
          <w:left w:w="0" w:type="dxa"/>
          <w:bottom w:w="0" w:type="dxa"/>
          <w:right w:w="0" w:type="dxa"/>
        </w:tblCellMar>
      </w:tblPr>
      <w:tr>
        <w:trPr>
          <w:trHeight w:val="189"/>
        </w:trPr>
        <w:tc>
          <w:tcPr>
            <w:tcW w:w="3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7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Trading</w:t>
            </w:r>
          </w:p>
        </w:tc>
        <w:tc>
          <w:tcPr>
            <w:tcW w:w="36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w:t>
            </w:r>
          </w:p>
        </w:tc>
      </w:tr>
      <w:tr>
        <w:trPr>
          <w:trHeight w:val="239"/>
        </w:trPr>
        <w:tc>
          <w:tcPr>
            <w:tcW w:w="3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100" w:type="dxa"/>
            <w:vAlign w:val="bottom"/>
          </w:tcPr>
          <w:p>
            <w:pPr>
              <w:spacing w:after="0"/>
              <w:rPr>
                <w:sz w:val="20"/>
                <w:szCs w:val="20"/>
                <w:color w:val="auto"/>
              </w:rPr>
            </w:pPr>
          </w:p>
        </w:tc>
        <w:tc>
          <w:tcPr>
            <w:tcW w:w="3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Symbol(s)</w:t>
            </w:r>
          </w:p>
        </w:tc>
        <w:tc>
          <w:tcPr>
            <w:tcW w:w="100" w:type="dxa"/>
            <w:vAlign w:val="bottom"/>
          </w:tcPr>
          <w:p>
            <w:pPr>
              <w:spacing w:after="0"/>
              <w:rPr>
                <w:sz w:val="20"/>
                <w:szCs w:val="20"/>
                <w:color w:val="auto"/>
              </w:rPr>
            </w:pPr>
          </w:p>
        </w:tc>
        <w:tc>
          <w:tcPr>
            <w:tcW w:w="3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exchange on which registered</w:t>
            </w:r>
          </w:p>
        </w:tc>
      </w:tr>
      <w:tr>
        <w:trPr>
          <w:trHeight w:val="223"/>
        </w:trPr>
        <w:tc>
          <w:tcPr>
            <w:tcW w:w="37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rPr>
              <w:t>Common stock, par value $0.0001 per share</w:t>
            </w:r>
          </w:p>
        </w:tc>
        <w:tc>
          <w:tcPr>
            <w:tcW w:w="37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KDK</w:t>
            </w:r>
          </w:p>
        </w:tc>
        <w:tc>
          <w:tcPr>
            <w:tcW w:w="36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The Nasdaq Stock Market LLC</w:t>
            </w:r>
          </w:p>
        </w:tc>
      </w:tr>
      <w:tr>
        <w:trPr>
          <w:trHeight w:val="222"/>
        </w:trPr>
        <w:tc>
          <w:tcPr>
            <w:tcW w:w="37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Redeemable warrants, each exercisable for one share of</w:t>
            </w:r>
          </w:p>
        </w:tc>
        <w:tc>
          <w:tcPr>
            <w:tcW w:w="37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KDKRW</w:t>
            </w:r>
          </w:p>
        </w:tc>
        <w:tc>
          <w:tcPr>
            <w:tcW w:w="36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The Nasdaq Stock Market LLC</w:t>
            </w:r>
          </w:p>
        </w:tc>
      </w:tr>
      <w:tr>
        <w:trPr>
          <w:trHeight w:val="210"/>
        </w:trPr>
        <w:tc>
          <w:tcPr>
            <w:tcW w:w="37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rPr>
              <w:t>common stock at an exercise price of $9.28</w:t>
            </w:r>
          </w:p>
        </w:tc>
        <w:tc>
          <w:tcPr>
            <w:tcW w:w="3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80" w:type="dxa"/>
            <w:vAlign w:val="bottom"/>
          </w:tcPr>
          <w:p>
            <w:pPr>
              <w:spacing w:after="0"/>
              <w:rPr>
                <w:sz w:val="18"/>
                <w:szCs w:val="18"/>
                <w:color w:val="auto"/>
              </w:rPr>
            </w:pPr>
          </w:p>
        </w:tc>
      </w:tr>
    </w:tbl>
    <w:p>
      <w:pPr>
        <w:spacing w:after="0" w:line="100" w:lineRule="exact"/>
        <w:rPr>
          <w:sz w:val="24"/>
          <w:szCs w:val="24"/>
          <w:color w:val="auto"/>
        </w:rPr>
      </w:pPr>
    </w:p>
    <w:p>
      <w:pPr>
        <w:ind w:right="580"/>
        <w:spacing w:after="0" w:line="298"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 230.405) or Rule 12b-2 of the Securities Exchange Act of 1934 (§ 240.12b-2).</w:t>
      </w:r>
    </w:p>
    <w:p>
      <w:pPr>
        <w:spacing w:after="0" w:line="7"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163" w:lineRule="exact"/>
        <w:rPr>
          <w:sz w:val="24"/>
          <w:szCs w:val="24"/>
          <w:color w:val="auto"/>
        </w:rPr>
      </w:pPr>
    </w:p>
    <w:p>
      <w:pPr>
        <w:ind w:right="580"/>
        <w:spacing w:after="0" w:line="280" w:lineRule="auto"/>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6"/>
          <w:szCs w:val="16"/>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615315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2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On May 7, 2026, Kodiak AI, Inc.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entered into subscription agreements (the “</w:t>
      </w:r>
      <w:r>
        <w:rPr>
          <w:rFonts w:ascii="Times New Roman" w:cs="Times New Roman" w:eastAsia="Times New Roman" w:hAnsi="Times New Roman"/>
          <w:sz w:val="18"/>
          <w:szCs w:val="18"/>
          <w:b w:val="1"/>
          <w:bCs w:val="1"/>
          <w:color w:val="auto"/>
        </w:rPr>
        <w:t>Subscription Agreements</w:t>
      </w:r>
      <w:r>
        <w:rPr>
          <w:rFonts w:ascii="Times New Roman" w:cs="Times New Roman" w:eastAsia="Times New Roman" w:hAnsi="Times New Roman"/>
          <w:sz w:val="18"/>
          <w:szCs w:val="18"/>
          <w:color w:val="auto"/>
        </w:rPr>
        <w:t>” and each a “</w:t>
      </w:r>
      <w:r>
        <w:rPr>
          <w:rFonts w:ascii="Times New Roman" w:cs="Times New Roman" w:eastAsia="Times New Roman" w:hAnsi="Times New Roman"/>
          <w:sz w:val="18"/>
          <w:szCs w:val="18"/>
          <w:b w:val="1"/>
          <w:bCs w:val="1"/>
          <w:color w:val="auto"/>
        </w:rPr>
        <w:t>Subscription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with the investors named therein (all investors together, the “</w:t>
      </w:r>
      <w:r>
        <w:rPr>
          <w:rFonts w:ascii="Times New Roman" w:cs="Times New Roman" w:eastAsia="Times New Roman" w:hAnsi="Times New Roman"/>
          <w:sz w:val="18"/>
          <w:szCs w:val="18"/>
          <w:b w:val="1"/>
          <w:bCs w:val="1"/>
          <w:color w:val="auto"/>
        </w:rPr>
        <w:t>Investors</w:t>
      </w:r>
      <w:r>
        <w:rPr>
          <w:rFonts w:ascii="Times New Roman" w:cs="Times New Roman" w:eastAsia="Times New Roman" w:hAnsi="Times New Roman"/>
          <w:sz w:val="18"/>
          <w:szCs w:val="18"/>
          <w:color w:val="auto"/>
        </w:rPr>
        <w:t>”), which investors include new institutional investors, certain existing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stockholders and an affiliate of Ares Management Corporation (“</w:t>
      </w:r>
      <w:r>
        <w:rPr>
          <w:rFonts w:ascii="Times New Roman" w:cs="Times New Roman" w:eastAsia="Times New Roman" w:hAnsi="Times New Roman"/>
          <w:sz w:val="18"/>
          <w:szCs w:val="18"/>
          <w:b w:val="1"/>
          <w:bCs w:val="1"/>
          <w:color w:val="auto"/>
        </w:rPr>
        <w:t>Ares</w:t>
      </w:r>
      <w:r>
        <w:rPr>
          <w:rFonts w:ascii="Times New Roman" w:cs="Times New Roman" w:eastAsia="Times New Roman" w:hAnsi="Times New Roman"/>
          <w:sz w:val="18"/>
          <w:szCs w:val="18"/>
          <w:color w:val="auto"/>
        </w:rPr>
        <w:t>”), relating to the private placement (the “</w:t>
      </w:r>
      <w:r>
        <w:rPr>
          <w:rFonts w:ascii="Times New Roman" w:cs="Times New Roman" w:eastAsia="Times New Roman" w:hAnsi="Times New Roman"/>
          <w:sz w:val="18"/>
          <w:szCs w:val="18"/>
          <w:b w:val="1"/>
          <w:bCs w:val="1"/>
          <w:color w:val="auto"/>
        </w:rPr>
        <w:t>Private Placement</w:t>
      </w:r>
      <w:r>
        <w:rPr>
          <w:rFonts w:ascii="Times New Roman" w:cs="Times New Roman" w:eastAsia="Times New Roman" w:hAnsi="Times New Roman"/>
          <w:sz w:val="18"/>
          <w:szCs w:val="18"/>
          <w:color w:val="auto"/>
        </w:rPr>
        <w:t>”) of an aggregate of 15,384,609 shares (the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of the Company’s common stock, par value $0.0001 per share (the “</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at a price per share of $6.50, and accompanying warrants (the “</w:t>
      </w:r>
      <w:r>
        <w:rPr>
          <w:rFonts w:ascii="Times New Roman" w:cs="Times New Roman" w:eastAsia="Times New Roman" w:hAnsi="Times New Roman"/>
          <w:sz w:val="18"/>
          <w:szCs w:val="18"/>
          <w:b w:val="1"/>
          <w:bCs w:val="1"/>
          <w:color w:val="auto"/>
        </w:rPr>
        <w:t>Warrants</w:t>
      </w:r>
      <w:r>
        <w:rPr>
          <w:rFonts w:ascii="Times New Roman" w:cs="Times New Roman" w:eastAsia="Times New Roman" w:hAnsi="Times New Roman"/>
          <w:sz w:val="18"/>
          <w:szCs w:val="18"/>
          <w:color w:val="auto"/>
        </w:rPr>
        <w:t>,” and together with the Shares, the “</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 exercisable for an aggregate of 15,384,609 shares of Common Stock (the “</w:t>
      </w:r>
      <w:r>
        <w:rPr>
          <w:rFonts w:ascii="Times New Roman" w:cs="Times New Roman" w:eastAsia="Times New Roman" w:hAnsi="Times New Roman"/>
          <w:sz w:val="18"/>
          <w:szCs w:val="18"/>
          <w:b w:val="1"/>
          <w:bCs w:val="1"/>
          <w:color w:val="auto"/>
        </w:rPr>
        <w:t>Underlying Shares</w:t>
      </w:r>
      <w:r>
        <w:rPr>
          <w:rFonts w:ascii="Times New Roman" w:cs="Times New Roman" w:eastAsia="Times New Roman" w:hAnsi="Times New Roman"/>
          <w:sz w:val="18"/>
          <w:szCs w:val="18"/>
          <w:color w:val="auto"/>
        </w:rPr>
        <w:t>”). Subject to the satisfaction of customary closing conditions, the Company intends to close the Private Placement and issue the Securities on May 8, 2026, which is expected to result in approximately $100.0 million in gross proceeds to the Company. The Company intends to use the net proceeds from the Private Placement for working capital and general corporate purposes.</w:t>
      </w:r>
    </w:p>
    <w:p>
      <w:pPr>
        <w:spacing w:after="0" w:line="18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Warrants will be immediately exercisable upon issuance and will expire five years from the date of issuance. The Warrants will include customary cash and, in certain limited circumstances following the effectiveness of a resale registration statement related to the Underlying Shares, cashless exercise provisions. The Warrant will be initially exercisable at $6.00 per share of Common Stock, which exercise price is subject to certain anti-dilution and other adjustments.</w:t>
      </w:r>
    </w:p>
    <w:p>
      <w:pPr>
        <w:spacing w:after="0" w:line="18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Subscription Agreements contain customary representations, warranties, covenants and agreements by the Company, indemnification obligations of the Company and the Investors, including for liabilities under the Securities Act of 1933, as amended (the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and other obligations of the parties, including that the Company has agreed to not sell any shares of Common Stock or Common Stock equivalents, subject to certain exceptions, for a period of three months after the closing of the Private Placement. The representations, warranties, covenants and agreements contained in the Subscription Agreements reflect negotiations between the parties to the Subscription Agreements and are not intended as statements of fact to be relied upon by stockholders, or any individual or other entity other than the parties. In particular, the representations, warranties, covenants and agreements in the Subscription Agreements may be subject to limitations agreed by the parties, including having been modified or qualified by certain confidential disclosures that were made between the parties in connection with the negotiation of the Subscription Agreements, and having been made for purposes of allocating risk among the parties rather than establishing matters of fact. In addition, the parties may apply standards of materiality in a way that is different from what may be viewed as material by investors. As such, the representations and warranties in the Subscription Agreements may not describe the actual state of affairs at the date they were made, or at any other time, and you should not rely on them as statements of fact. Moreover, information concerning the subject matter of the representations and warranties may change after the date of the Subscription Agreements, and unless required by applicable law, the Company undertakes no obligation to update such information.</w:t>
      </w:r>
    </w:p>
    <w:p>
      <w:pPr>
        <w:spacing w:after="0" w:line="183"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color w:val="auto"/>
        </w:rPr>
        <w:t>In accordance with the terms of the Certificate of Designation of the Company’s 9.99% Series A Cumulative Convertible Preferred Stock (the “</w:t>
      </w:r>
      <w:r>
        <w:rPr>
          <w:rFonts w:ascii="Times New Roman" w:cs="Times New Roman" w:eastAsia="Times New Roman" w:hAnsi="Times New Roman"/>
          <w:sz w:val="18"/>
          <w:szCs w:val="18"/>
          <w:b w:val="1"/>
          <w:bCs w:val="1"/>
          <w:color w:val="auto"/>
        </w:rPr>
        <w:t>Preferred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Stock</w:t>
      </w:r>
      <w:r>
        <w:rPr>
          <w:rFonts w:ascii="Times New Roman" w:cs="Times New Roman" w:eastAsia="Times New Roman" w:hAnsi="Times New Roman"/>
          <w:sz w:val="18"/>
          <w:szCs w:val="18"/>
          <w:color w:val="auto"/>
        </w:rPr>
        <w:t>”), the issuance of the Securities in the Private Placement would have been expected to result in an adjustment to the conversion price of the Preferred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 pursuant to the anti-dilution provisions set forth therein, as well as a corresponding adjustment to the exercise price of certain existing warrants to purchase Common Stock pursuant to the anti-dilution provisions set forth therein. In lieu of such an adjustment, the applicable holders of Preferred Stock and warrants have agreed with the Company to waive such anti-dilution provisions in respect of the Private Placement and adjust the conversion price of the Preferred Stock and the exercise price of the warrants to $6.00.</w:t>
      </w:r>
    </w:p>
    <w:p>
      <w:pPr>
        <w:spacing w:after="0" w:line="18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Private Placement was not registered under the Securities Act in reliance on the exemption from registration provided by Section 4(a)(2) of the Securities Act. The Securities and Underlying Shares sold and issued in the Private Placement have not been registered under the Securities Act or any state securities laws and may not be offered or sold in the United States absent registration with the Securities and Exchange Commission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or an applicable exemption from the registration requirements of the Securities Act.</w:t>
      </w:r>
    </w:p>
    <w:p>
      <w:pPr>
        <w:spacing w:after="0" w:line="180"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Pursuant to the Subscription Agreements, the Company has also agreed to file a registration statement with the SEC on or prior to the 30th calendar day following the execution of the Subscription Agreements (subject to certain exceptions) for purposes of registering the resale of the Shares and Underlying Shares (the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to use commercially reasonable efforts to have such Registration Statement declared effective within the time period set forth therein, and to keep the Registration Statement effective until the earliest of: (i) the second anniversary of the Effectiveness Date (as defined in the Agreements) of the Registration Statement registering all Shares and Underlying Shares for resale by the Investors; (ii) the date on which the Investors cease to hold any Shares or Underlying Shares issued pursuant to the Agreements; or (iii) the first date on which the Investors are able to sell all of their Shares and Underlying Shares issued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564515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color w:val="auto"/>
        </w:rPr>
        <w:t>pursuant to the Agreements (or shares received in exchange therefor) under Rule 144 of the Securities Act without volume or manner of sale limitations.</w:t>
      </w:r>
    </w:p>
    <w:p>
      <w:pPr>
        <w:spacing w:after="0" w:line="225"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foregoing descriptions of the Subscription Agreements and the Warrants do not purport to be complete and are qualified in their entirety by reference to the Form of Subscription Agreement and the Form of Common Stock Warrant filed as Exhibits 10.1 and 4.1, respectively, to this Current Report on Form 8-K and are incorporated herein by reference.</w:t>
      </w:r>
    </w:p>
    <w:p>
      <w:pPr>
        <w:spacing w:after="0" w:line="176"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An affiliate of Ares agreed to purchase 769,230 shares of Common Stock and a Warrant to purchase 769,230 shares of Common Stock in the Private Placement in exchange for a purchase price of approximately $5.0 million. Certain affiliates of Ares are stockholders of the Company, and Ares beneficially owns more than ten percent (10%) of the Company’s capital stock. Additionally, an affiliate of Ares employs Allyson Satin, who currently serves on the Company’s board of directors, and Ares has certain other agreements with the Company. For more detail, see the “Certain Relationships and Related Party Transactions” section of the Company’s proxy statement filed with the Securities and Exchange Commission on April 24, 2026, which information related to Ares is incorporated herein by reference.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May 7, 2026, the Company issued a press release announcing financial results for the three months ended March 31,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copy of the press release is furnished as Exhibit 99.1 to this Current Report on Form 8-K and is incorporated by reference herein.</w:t>
      </w:r>
    </w:p>
    <w:p>
      <w:pPr>
        <w:spacing w:after="0" w:line="225"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information above, including Exhibit 99.1, is furnished pursuant to Item 2.02 of Form 8-K and shall not be deemed “filed” for purposes of Section 18 of the Securities Exchange Act of 1934, as amended (the “Exchange Act”), or otherwise subject to liabilities of that section, nor shall it be deemed incorporated by reference into any other filing under the Securities Act of 1933, as amended, or the Exchange Act, except as expressly set forth by specific reference in such a filing.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3.02. Unregistered Sales of Equity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under Item 1.01 of this Current Report on Form 8-K related to the Securities and Underlying Shares is incorporated herein by reference.</w:t>
      </w:r>
    </w:p>
    <w:p>
      <w:pPr>
        <w:spacing w:after="0" w:line="225"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This Current Report on Form 8-K does not constitute an offer to sell any securities or a solicitation of an offer to buy any securities, nor shall there be any sale of any securities in any state or jurisdiction in which such an offer, solicitation or sale would be unlawful prior to registration or qualification under the securities laws of any such state or jurisdiction.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520" w:type="dxa"/>
            <w:vAlign w:val="bottom"/>
            <w:gridSpan w:val="2"/>
          </w:tcPr>
          <w:p>
            <w:pPr>
              <w:ind w:left="120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0" w:type="dxa"/>
            <w:vAlign w:val="bottom"/>
          </w:tcPr>
          <w:p>
            <w:pPr>
              <w:spacing w:after="0"/>
              <w:rPr>
                <w:sz w:val="1"/>
                <w:szCs w:val="1"/>
                <w:color w:val="auto"/>
              </w:rPr>
            </w:pPr>
          </w:p>
        </w:tc>
      </w:tr>
      <w:tr>
        <w:trPr>
          <w:trHeight w:val="435"/>
        </w:trPr>
        <w:tc>
          <w:tcPr>
            <w:tcW w:w="12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20" w:type="dxa"/>
            <w:vAlign w:val="bottom"/>
          </w:tcPr>
          <w:p>
            <w:pPr>
              <w:spacing w:after="0"/>
              <w:rPr>
                <w:sz w:val="24"/>
                <w:szCs w:val="24"/>
                <w:color w:val="auto"/>
              </w:rPr>
            </w:pPr>
          </w:p>
        </w:tc>
        <w:tc>
          <w:tcPr>
            <w:tcW w:w="996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37"/>
        </w:trPr>
        <w:tc>
          <w:tcPr>
            <w:tcW w:w="11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4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48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96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Form of Common Stock Warrant.</w:t>
            </w:r>
          </w:p>
        </w:tc>
        <w:tc>
          <w:tcPr>
            <w:tcW w:w="0" w:type="dxa"/>
            <w:vAlign w:val="bottom"/>
          </w:tcPr>
          <w:p>
            <w:pPr>
              <w:spacing w:after="0"/>
              <w:rPr>
                <w:sz w:val="1"/>
                <w:szCs w:val="1"/>
                <w:color w:val="auto"/>
              </w:rPr>
            </w:pPr>
          </w:p>
        </w:tc>
      </w:tr>
      <w:tr>
        <w:trPr>
          <w:trHeight w:val="20"/>
        </w:trPr>
        <w:tc>
          <w:tcPr>
            <w:tcW w:w="11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6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4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Form of Subscription Agreement.</w:t>
            </w:r>
          </w:p>
        </w:tc>
        <w:tc>
          <w:tcPr>
            <w:tcW w:w="7520" w:type="dxa"/>
            <w:vAlign w:val="bottom"/>
            <w:gridSpan w:val="2"/>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99.1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96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Press release dated May 7, 2026, announcing Kodiak AI, Inc.'s financial results for the three months ended March 31, 2026.</w:t>
            </w:r>
          </w:p>
        </w:tc>
        <w:tc>
          <w:tcPr>
            <w:tcW w:w="0" w:type="dxa"/>
            <w:vAlign w:val="bottom"/>
          </w:tcPr>
          <w:p>
            <w:pPr>
              <w:spacing w:after="0"/>
              <w:rPr>
                <w:sz w:val="1"/>
                <w:szCs w:val="1"/>
                <w:color w:val="auto"/>
              </w:rPr>
            </w:pPr>
          </w:p>
        </w:tc>
      </w:tr>
      <w:tr>
        <w:trPr>
          <w:trHeight w:val="291"/>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92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 the cover page XBRL tags are embedded within the Inline XBRL document.</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15" w:lineRule="exact"/>
        <w:rPr>
          <w:sz w:val="20"/>
          <w:szCs w:val="20"/>
          <w:color w:val="auto"/>
        </w:rPr>
      </w:pPr>
    </w:p>
    <w:p>
      <w:pPr>
        <w:ind w:right="260" w:hanging="73"/>
        <w:spacing w:after="0" w:line="282" w:lineRule="auto"/>
        <w:rPr>
          <w:sz w:val="20"/>
          <w:szCs w:val="20"/>
          <w:color w:val="auto"/>
        </w:rPr>
      </w:pPr>
      <w:r>
        <w:rPr>
          <w:rFonts w:ascii="Times New Roman" w:cs="Times New Roman" w:eastAsia="Times New Roman" w:hAnsi="Times New Roman"/>
          <w:sz w:val="14"/>
          <w:szCs w:val="14"/>
          <w:color w:val="auto"/>
        </w:rPr>
        <w:t>Certain schedules and similar attachments to this Exhibit have been omitted in accordance with Item 601(a)(5) of Regulation S-K. The registrant agrees to furnish supplementally a copy of any omitted exhibit or schedule to the SEC upon its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549910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3" w:name="page4"/>
    <w:bookmarkEnd w:id="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12"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b w:val="1"/>
          <w:bCs w:val="1"/>
          <w:color w:val="auto"/>
        </w:rPr>
        <w:t>KODIAK AI, INC.</w:t>
      </w:r>
    </w:p>
    <w:p>
      <w:pPr>
        <w:spacing w:after="0" w:line="337" w:lineRule="exact"/>
        <w:rPr>
          <w:sz w:val="20"/>
          <w:szCs w:val="20"/>
          <w:color w:val="auto"/>
        </w:rPr>
      </w:pPr>
    </w:p>
    <w:tbl>
      <w:tblPr>
        <w:tblLayout w:type="fixed"/>
        <w:tblInd w:w="5520" w:type="dxa"/>
        <w:tblCellMar>
          <w:top w:w="0" w:type="dxa"/>
          <w:left w:w="0" w:type="dxa"/>
          <w:bottom w:w="0" w:type="dxa"/>
          <w:right w:w="0" w:type="dxa"/>
        </w:tblCellMar>
      </w:tblPr>
      <w:tr>
        <w:trPr>
          <w:trHeight w:val="234"/>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2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Surajit Datta</w:t>
            </w:r>
          </w:p>
        </w:tc>
      </w:tr>
      <w:tr>
        <w:trPr>
          <w:trHeight w:val="27"/>
        </w:trPr>
        <w:tc>
          <w:tcPr>
            <w:tcW w:w="860" w:type="dxa"/>
            <w:vAlign w:val="bottom"/>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r>
      <w:tr>
        <w:trPr>
          <w:trHeight w:val="237"/>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2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Surajit Datta</w:t>
            </w:r>
          </w:p>
        </w:tc>
      </w:tr>
      <w:tr>
        <w:trPr>
          <w:trHeight w:val="270"/>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2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30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May 7, 2026</w:t>
      </w:r>
    </w:p>
    <w:p>
      <w:pPr>
        <w:sectPr>
          <w:pgSz w:w="11900" w:h="16838" w:orient="portrait"/>
          <w:cols w:equalWidth="0" w:num="1">
            <w:col w:w="11200"/>
          </w:cols>
          <w:pgMar w:left="320" w:top="1359" w:right="37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20"/>
          <w:szCs w:val="20"/>
          <w:b w:val="1"/>
          <w:bCs w:val="1"/>
          <w:color w:val="auto"/>
        </w:rPr>
        <w:t>Exhibit 4.1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right="180"/>
        <w:spacing w:after="0" w:line="254" w:lineRule="auto"/>
        <w:rPr>
          <w:sz w:val="20"/>
          <w:szCs w:val="20"/>
          <w:color w:val="auto"/>
        </w:rPr>
      </w:pPr>
      <w:r>
        <w:rPr>
          <w:rFonts w:ascii="Times New Roman" w:cs="Times New Roman" w:eastAsia="Times New Roman" w:hAnsi="Times New Roman"/>
          <w:sz w:val="18"/>
          <w:szCs w:val="18"/>
          <w:b w:val="1"/>
          <w:bCs w:val="1"/>
          <w:color w:val="auto"/>
        </w:rPr>
        <w:t>THIS WARRANT AND THE SHARES OF COMMON STOCK ISSUABLE UPON THE EXERCISE OF THIS WARRANT (THE “SECURITIES”) HAVE NOT BEEN REGISTERED UNDER THE SECURITIES ACT OF 1933, AS AMENDED (THE “SECURITIES ACT”), OR THE SECURITIES LAWS OF ANY STATE OF THE UNITED STATES. THE SECURITIES HAVE BEEN ACQUIRED FOR INVESTMENT AND MAY NOT BE SOLD, TRANSFERRED OR ASSIGNED UNLESS (I) SUCH SECURITIES HAVE BEEN REGISTERED FOR SALE PURSUANT TO THE SECURITIES ACT, (II) SUCH SECURITIES MAY BE SOLD PURSUANT TO RULE 144 UNDER THE SECURITIES ACT, (III) SUCH TRANSFER IS BEING MADE PURSUANT TO ANOTHER APPLICABLE EXEMPTION FROM THE REGISTRATION REQUIREMENTS OF THE SECURITIES ACT (IN WHICH CASE, THE COMPANY, ACTING REASONABLY, MAY REQUEST AN OPINION OF COUNSEL IN FORM REASONABLY SATISFACTORY TO IT CONFIRMING THE SAME), OR (IV) THE SECURITIES ARE TRANSFERRED WITHOUT CONSIDERATION TO AN AFFILIATE OF SUCH HOLDER OR A CUSTODIAL NOMINEE (WHICH FOR THE AVOIDANCE OF DOUBT SHALL REQUIRE NEITHER CONSENT NOR THE DELIVERY OF AN OPINION).</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WARRANT TO PURCHASE COMMON STOCK</w:t>
      </w:r>
    </w:p>
    <w:p>
      <w:pPr>
        <w:spacing w:after="0" w:line="229" w:lineRule="exact"/>
        <w:rPr>
          <w:sz w:val="20"/>
          <w:szCs w:val="20"/>
          <w:color w:val="auto"/>
        </w:rPr>
      </w:pPr>
    </w:p>
    <w:p>
      <w:pPr>
        <w:ind w:left="9660"/>
        <w:spacing w:after="0"/>
        <w:rPr>
          <w:sz w:val="20"/>
          <w:szCs w:val="20"/>
          <w:color w:val="auto"/>
        </w:rPr>
      </w:pPr>
      <w:r>
        <w:rPr>
          <w:rFonts w:ascii="Times New Roman" w:cs="Times New Roman" w:eastAsia="Times New Roman" w:hAnsi="Times New Roman"/>
          <w:sz w:val="17"/>
          <w:szCs w:val="17"/>
          <w:color w:val="auto"/>
        </w:rPr>
        <w:t>Number of Shares: [•]</w:t>
      </w:r>
    </w:p>
    <w:p>
      <w:pPr>
        <w:spacing w:after="0" w:line="39" w:lineRule="exact"/>
        <w:rPr>
          <w:sz w:val="20"/>
          <w:szCs w:val="20"/>
          <w:color w:val="auto"/>
        </w:rPr>
      </w:pPr>
    </w:p>
    <w:p>
      <w:pPr>
        <w:ind w:left="9600"/>
        <w:spacing w:after="0"/>
        <w:rPr>
          <w:sz w:val="20"/>
          <w:szCs w:val="20"/>
          <w:color w:val="auto"/>
        </w:rPr>
      </w:pPr>
      <w:r>
        <w:rPr>
          <w:rFonts w:ascii="Times New Roman" w:cs="Times New Roman" w:eastAsia="Times New Roman" w:hAnsi="Times New Roman"/>
          <w:sz w:val="17"/>
          <w:szCs w:val="17"/>
          <w:color w:val="auto"/>
        </w:rPr>
        <w:t>(subject to adjustment)</w:t>
      </w:r>
    </w:p>
    <w:p>
      <w:pPr>
        <w:spacing w:after="0" w:line="259" w:lineRule="exact"/>
        <w:rPr>
          <w:sz w:val="20"/>
          <w:szCs w:val="20"/>
          <w:color w:val="auto"/>
        </w:rPr>
      </w:pPr>
    </w:p>
    <w:p>
      <w:pPr>
        <w:ind w:left="20"/>
        <w:spacing w:after="0"/>
        <w:tabs>
          <w:tab w:leader="none" w:pos="8800" w:val="left"/>
        </w:tabs>
        <w:rPr>
          <w:sz w:val="20"/>
          <w:szCs w:val="20"/>
          <w:color w:val="auto"/>
        </w:rPr>
      </w:pPr>
      <w:r>
        <w:rPr>
          <w:rFonts w:ascii="Times New Roman" w:cs="Times New Roman" w:eastAsia="Times New Roman" w:hAnsi="Times New Roman"/>
          <w:sz w:val="18"/>
          <w:szCs w:val="18"/>
          <w:color w:val="auto"/>
        </w:rPr>
        <w:t>Warrant No. [•]</w:t>
      </w:r>
      <w:r>
        <w:rPr>
          <w:sz w:val="20"/>
          <w:szCs w:val="20"/>
          <w:color w:val="auto"/>
        </w:rPr>
        <w:tab/>
      </w:r>
      <w:r>
        <w:rPr>
          <w:rFonts w:ascii="Times New Roman" w:cs="Times New Roman" w:eastAsia="Times New Roman" w:hAnsi="Times New Roman"/>
          <w:sz w:val="17"/>
          <w:szCs w:val="17"/>
          <w:color w:val="auto"/>
        </w:rPr>
        <w:t>Original Issue Date: May 8, 2026</w:t>
      </w:r>
    </w:p>
    <w:p>
      <w:pPr>
        <w:spacing w:after="0" w:line="37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Kodiak AI, Inc., </w:t>
      </w:r>
      <w:r>
        <w:rPr>
          <w:rFonts w:ascii="Times New Roman" w:cs="Times New Roman" w:eastAsia="Times New Roman" w:hAnsi="Times New Roman"/>
          <w:sz w:val="18"/>
          <w:szCs w:val="18"/>
          <w:color w:val="auto"/>
        </w:rPr>
        <w:t>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hereby certifies that, for good and valuable consideration, the receipt and sufficiency of</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which are hereby acknowledged, [•] or its registered assigns (the “</w:t>
      </w:r>
      <w:r>
        <w:rPr>
          <w:rFonts w:ascii="Times New Roman" w:cs="Times New Roman" w:eastAsia="Times New Roman" w:hAnsi="Times New Roman"/>
          <w:sz w:val="18"/>
          <w:szCs w:val="18"/>
          <w:b w:val="1"/>
          <w:bCs w:val="1"/>
          <w:color w:val="auto"/>
        </w:rPr>
        <w:t>Holder</w:t>
      </w:r>
      <w:r>
        <w:rPr>
          <w:rFonts w:ascii="Times New Roman" w:cs="Times New Roman" w:eastAsia="Times New Roman" w:hAnsi="Times New Roman"/>
          <w:sz w:val="18"/>
          <w:szCs w:val="18"/>
          <w:color w:val="auto"/>
        </w:rPr>
        <w:t>”), is entitled, subject to the terms set forth below, to purchase from the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up to a total of [•] shares of common stock, $0.0001 par value per share (the “</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of the Company (each such share, a “</w:t>
      </w:r>
      <w:r>
        <w:rPr>
          <w:rFonts w:ascii="Times New Roman" w:cs="Times New Roman" w:eastAsia="Times New Roman" w:hAnsi="Times New Roman"/>
          <w:sz w:val="18"/>
          <w:szCs w:val="18"/>
          <w:b w:val="1"/>
          <w:bCs w:val="1"/>
          <w:color w:val="auto"/>
        </w:rPr>
        <w:t>Warrant Share</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all such shares, the “</w:t>
      </w:r>
      <w:r>
        <w:rPr>
          <w:rFonts w:ascii="Times New Roman" w:cs="Times New Roman" w:eastAsia="Times New Roman" w:hAnsi="Times New Roman"/>
          <w:sz w:val="18"/>
          <w:szCs w:val="18"/>
          <w:b w:val="1"/>
          <w:bCs w:val="1"/>
          <w:color w:val="auto"/>
        </w:rPr>
        <w:t>Warrant Shares</w:t>
      </w:r>
      <w:r>
        <w:rPr>
          <w:rFonts w:ascii="Times New Roman" w:cs="Times New Roman" w:eastAsia="Times New Roman" w:hAnsi="Times New Roman"/>
          <w:sz w:val="18"/>
          <w:szCs w:val="18"/>
          <w:color w:val="auto"/>
        </w:rPr>
        <w:t xml:space="preserve">”) at an exercise price per share equal to $6.00, as adjusted from time to time as provided in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Exercise Price</w:t>
      </w:r>
      <w:r>
        <w:rPr>
          <w:rFonts w:ascii="Times New Roman" w:cs="Times New Roman" w:eastAsia="Times New Roman" w:hAnsi="Times New Roman"/>
          <w:sz w:val="18"/>
          <w:szCs w:val="18"/>
          <w:color w:val="auto"/>
        </w:rPr>
        <w:t>”), upon surrender of this Warrant to Purchase Common Stock (including any Warrants to Purchase Common Stock issued in exchange,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transfer or replacement hereof, the “</w:t>
      </w:r>
      <w:r>
        <w:rPr>
          <w:rFonts w:ascii="Times New Roman" w:cs="Times New Roman" w:eastAsia="Times New Roman" w:hAnsi="Times New Roman"/>
          <w:sz w:val="18"/>
          <w:szCs w:val="18"/>
          <w:b w:val="1"/>
          <w:bCs w:val="1"/>
          <w:color w:val="auto"/>
        </w:rPr>
        <w:t>Warrant</w:t>
      </w:r>
      <w:r>
        <w:rPr>
          <w:rFonts w:ascii="Times New Roman" w:cs="Times New Roman" w:eastAsia="Times New Roman" w:hAnsi="Times New Roman"/>
          <w:sz w:val="18"/>
          <w:szCs w:val="18"/>
          <w:color w:val="auto"/>
        </w:rPr>
        <w:t>”) at any time and from time to time on or after the date hereof (the “</w:t>
      </w:r>
      <w:r>
        <w:rPr>
          <w:rFonts w:ascii="Times New Roman" w:cs="Times New Roman" w:eastAsia="Times New Roman" w:hAnsi="Times New Roman"/>
          <w:sz w:val="18"/>
          <w:szCs w:val="18"/>
          <w:b w:val="1"/>
          <w:bCs w:val="1"/>
          <w:color w:val="auto"/>
        </w:rPr>
        <w:t>Original Issue Date</w:t>
      </w:r>
      <w:r>
        <w:rPr>
          <w:rFonts w:ascii="Times New Roman" w:cs="Times New Roman" w:eastAsia="Times New Roman" w:hAnsi="Times New Roman"/>
          <w:sz w:val="18"/>
          <w:szCs w:val="18"/>
          <w:color w:val="auto"/>
        </w:rPr>
        <w:t>”) and on or prior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5:00 p.m. (New York City time) on May 7, 2031 (the “</w:t>
      </w:r>
      <w:r>
        <w:rPr>
          <w:rFonts w:ascii="Times New Roman" w:cs="Times New Roman" w:eastAsia="Times New Roman" w:hAnsi="Times New Roman"/>
          <w:sz w:val="18"/>
          <w:szCs w:val="18"/>
          <w:b w:val="1"/>
          <w:bCs w:val="1"/>
          <w:color w:val="auto"/>
        </w:rPr>
        <w:t>Expiration Date</w:t>
      </w:r>
      <w:r>
        <w:rPr>
          <w:rFonts w:ascii="Times New Roman" w:cs="Times New Roman" w:eastAsia="Times New Roman" w:hAnsi="Times New Roman"/>
          <w:sz w:val="18"/>
          <w:szCs w:val="18"/>
          <w:color w:val="auto"/>
        </w:rPr>
        <w:t>”), but not thereafter.</w:t>
      </w:r>
    </w:p>
    <w:p>
      <w:pPr>
        <w:spacing w:after="0" w:line="203" w:lineRule="exact"/>
        <w:rPr>
          <w:sz w:val="20"/>
          <w:szCs w:val="20"/>
          <w:color w:val="auto"/>
        </w:rPr>
      </w:pPr>
    </w:p>
    <w:p>
      <w:pPr>
        <w:ind w:left="180" w:hanging="172"/>
        <w:spacing w:after="0"/>
        <w:tabs>
          <w:tab w:leader="none" w:pos="180"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Definitions</w:t>
      </w:r>
      <w:r>
        <w:rPr>
          <w:rFonts w:ascii="Times New Roman" w:cs="Times New Roman" w:eastAsia="Times New Roman" w:hAnsi="Times New Roman"/>
          <w:sz w:val="18"/>
          <w:szCs w:val="18"/>
          <w:color w:val="auto"/>
        </w:rPr>
        <w:t>. For purposes of this Warrant, the following terms shall have the following meanings:</w:t>
      </w:r>
    </w:p>
    <w:p>
      <w:pPr>
        <w:spacing w:after="0" w:line="117" w:lineRule="exact"/>
        <w:rPr>
          <w:sz w:val="20"/>
          <w:szCs w:val="20"/>
          <w:color w:val="auto"/>
        </w:rPr>
      </w:pPr>
    </w:p>
    <w:p>
      <w:pPr>
        <w:ind w:right="140" w:firstLine="441"/>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means, with respect to any Person, any other Person that, directly or indirectly through one or more intermediates, controls, is controlled by or is under common control with such Person.</w:t>
      </w:r>
    </w:p>
    <w:p>
      <w:pPr>
        <w:spacing w:after="0" w:line="155" w:lineRule="exact"/>
        <w:rPr>
          <w:sz w:val="20"/>
          <w:szCs w:val="20"/>
          <w:color w:val="auto"/>
        </w:rPr>
      </w:pPr>
    </w:p>
    <w:p>
      <w:pPr>
        <w:ind w:right="60" w:firstLine="441"/>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Attribution Parties</w:t>
      </w:r>
      <w:r>
        <w:rPr>
          <w:rFonts w:ascii="Times New Roman" w:cs="Times New Roman" w:eastAsia="Times New Roman" w:hAnsi="Times New Roman"/>
          <w:sz w:val="18"/>
          <w:szCs w:val="18"/>
          <w:color w:val="auto"/>
        </w:rPr>
        <w:t>” means, collectively, the following Persons and entities: (i) any direct or indirect Affiliates of the Holder, (ii) any Person acting or who could be deemed to be acting as a Group together with the Holder or any Attribution Parties and (iii) any other Persons whose beneficial ownership of the Company’s Common Stock would or could be aggregated with the Holder’s and/or any other Attribution Parties for purposes of Section 13(d) or Section 16 of the Exchange Act. For clarity, the purpose of the foregoing is to subject collectively the Holder and all other Attribution Parties to the Beneficial Ownership Limitation.</w:t>
      </w:r>
    </w:p>
    <w:p>
      <w:pPr>
        <w:spacing w:after="0" w:line="179" w:lineRule="exact"/>
        <w:rPr>
          <w:sz w:val="20"/>
          <w:szCs w:val="20"/>
          <w:color w:val="auto"/>
        </w:rPr>
      </w:pPr>
    </w:p>
    <w:p>
      <w:pPr>
        <w:ind w:right="80" w:firstLine="441"/>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Combination Agreement</w:t>
      </w:r>
      <w:r>
        <w:rPr>
          <w:rFonts w:ascii="Times New Roman" w:cs="Times New Roman" w:eastAsia="Times New Roman" w:hAnsi="Times New Roman"/>
          <w:sz w:val="18"/>
          <w:szCs w:val="18"/>
          <w:color w:val="auto"/>
        </w:rPr>
        <w:t>” means that certain Business Combination Agreement, dated as of April 14, 2025, by and among the Company (or its predecessor), AAC II Merger Sub, Inc. and Kodiak Robotics, Inc.</w:t>
      </w:r>
    </w:p>
    <w:p>
      <w:pPr>
        <w:spacing w:after="0" w:line="155" w:lineRule="exact"/>
        <w:rPr>
          <w:sz w:val="20"/>
          <w:szCs w:val="20"/>
          <w:color w:val="auto"/>
        </w:rPr>
      </w:pPr>
    </w:p>
    <w:p>
      <w:pPr>
        <w:ind w:right="440" w:firstLine="441"/>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means a day other than a Saturday, Sunday or other day on which commercial banks in New York, New York are authorized or required by law to close.</w:t>
      </w:r>
    </w:p>
    <w:p>
      <w:pPr>
        <w:spacing w:after="0" w:line="182" w:lineRule="exact"/>
        <w:rPr>
          <w:sz w:val="20"/>
          <w:szCs w:val="20"/>
          <w:color w:val="auto"/>
        </w:rPr>
      </w:pPr>
    </w:p>
    <w:p>
      <w:pPr>
        <w:ind w:right="180" w:firstLine="441"/>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Closing Sale Price</w:t>
      </w:r>
      <w:r>
        <w:rPr>
          <w:rFonts w:ascii="Times New Roman" w:cs="Times New Roman" w:eastAsia="Times New Roman" w:hAnsi="Times New Roman"/>
          <w:sz w:val="18"/>
          <w:szCs w:val="18"/>
          <w:color w:val="auto"/>
        </w:rPr>
        <w:t>” means, for any security as of any date, the last trade price for such security on the Principal Trading Market for such security, as reported by Bloomberg Financial Markets, or, if such Principal</w:t>
      </w:r>
    </w:p>
    <w:p>
      <w:pPr>
        <w:sectPr>
          <w:pgSz w:w="11900" w:h="16838" w:orient="portrait"/>
          <w:cols w:equalWidth="0" w:num="1">
            <w:col w:w="11240"/>
          </w:cols>
          <w:pgMar w:left="320" w:top="114" w:right="339" w:bottom="1440" w:gutter="0" w:footer="0" w:header="0"/>
        </w:sectPr>
      </w:pPr>
    </w:p>
    <w:bookmarkStart w:id="5" w:name="page6"/>
    <w:bookmarkEnd w:id="5"/>
    <w:p>
      <w:pPr>
        <w:ind w:right="100"/>
        <w:spacing w:after="0" w:line="254" w:lineRule="auto"/>
        <w:rPr>
          <w:sz w:val="20"/>
          <w:szCs w:val="20"/>
          <w:color w:val="auto"/>
        </w:rPr>
      </w:pPr>
      <w:r>
        <w:rPr>
          <w:rFonts w:ascii="Times New Roman" w:cs="Times New Roman" w:eastAsia="Times New Roman" w:hAnsi="Times New Roman"/>
          <w:sz w:val="18"/>
          <w:szCs w:val="18"/>
          <w:color w:val="auto"/>
        </w:rPr>
        <w:t>Trading Market begins to operate on an extended hours basis and does not designate the last trade price, then the last trade price of such security prior to 4:00 P.M., New York City time, as reported by Bloomberg Financial Markets, or if the foregoing do not apply, the last trade price of such security in the over-the-counter market on the electronic bulletin board for such security as reported by Bloomberg Financial Markets. If the Closing Sale Price cannot be calculated for a security on a particular date on any of the foregoing bases, the Closing Sale Price of such security on such date shall be the fair market value as mutually determined by the Company and the Holder. If the Company and the Holder are unable to agree upon the fair market value of such security, then the board of directors of the Company shall use its good faith judgment to determine the fair market value. The Board of Directors’ determination shall be binding upon all parties absent demonstrable error. All such determinations shall be appropriately adjusted for any stock dividend, stock split, stock combination or other similar transaction during the applicable calculation period.</w:t>
      </w:r>
    </w:p>
    <w:p>
      <w:pPr>
        <w:spacing w:after="0" w:line="18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Commission</w:t>
      </w:r>
      <w:r>
        <w:rPr>
          <w:rFonts w:ascii="Times New Roman" w:cs="Times New Roman" w:eastAsia="Times New Roman" w:hAnsi="Times New Roman"/>
          <w:sz w:val="18"/>
          <w:szCs w:val="18"/>
          <w:color w:val="auto"/>
        </w:rPr>
        <w:t>” means the U.S. Securities and Exchange Commission.</w:t>
      </w:r>
    </w:p>
    <w:p>
      <w:pPr>
        <w:spacing w:after="0" w:line="225" w:lineRule="exact"/>
        <w:rPr>
          <w:sz w:val="20"/>
          <w:szCs w:val="20"/>
          <w:color w:val="auto"/>
        </w:rPr>
      </w:pPr>
    </w:p>
    <w:p>
      <w:pPr>
        <w:ind w:right="300" w:firstLine="441"/>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Common Stock Equivalents</w:t>
      </w:r>
      <w:r>
        <w:rPr>
          <w:rFonts w:ascii="Times New Roman" w:cs="Times New Roman" w:eastAsia="Times New Roman" w:hAnsi="Times New Roman"/>
          <w:sz w:val="18"/>
          <w:szCs w:val="18"/>
          <w:color w:val="auto"/>
        </w:rPr>
        <w:t>” means any securities of the Company that would entitle the holder thereof to acquire at any time Common Stock, including, without limitation, any debt, preferred stock, right, option, warrant or other instrument that is at any time convertible into or exercisable or exchangeable for, or otherwise entitles the holder thereof to receive, Common Stock.</w:t>
      </w:r>
    </w:p>
    <w:p>
      <w:pPr>
        <w:spacing w:after="0" w:line="171" w:lineRule="exact"/>
        <w:rPr>
          <w:sz w:val="20"/>
          <w:szCs w:val="20"/>
          <w:color w:val="auto"/>
        </w:rPr>
      </w:pPr>
    </w:p>
    <w:p>
      <w:pPr>
        <w:ind w:firstLine="441"/>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Convertible Securities</w:t>
      </w:r>
      <w:r>
        <w:rPr>
          <w:rFonts w:ascii="Times New Roman" w:cs="Times New Roman" w:eastAsia="Times New Roman" w:hAnsi="Times New Roman"/>
          <w:sz w:val="18"/>
          <w:szCs w:val="18"/>
          <w:color w:val="auto"/>
        </w:rPr>
        <w:t>” means any stock or securities (other than Options) directly or indirectly convertible into or exercisable or exchangeable for, or which otherwise entitles the holder thereof to acquire, any shares of Common Stock.</w:t>
      </w:r>
    </w:p>
    <w:p>
      <w:pPr>
        <w:spacing w:after="0" w:line="155" w:lineRule="exact"/>
        <w:rPr>
          <w:sz w:val="20"/>
          <w:szCs w:val="20"/>
          <w:color w:val="auto"/>
        </w:rPr>
      </w:pPr>
    </w:p>
    <w:p>
      <w:pPr>
        <w:ind w:right="180" w:firstLine="441"/>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Deemed Liquidation Event</w:t>
      </w:r>
      <w:r>
        <w:rPr>
          <w:rFonts w:ascii="Times New Roman" w:cs="Times New Roman" w:eastAsia="Times New Roman" w:hAnsi="Times New Roman"/>
          <w:sz w:val="18"/>
          <w:szCs w:val="18"/>
          <w:color w:val="auto"/>
        </w:rPr>
        <w:t>” means: (i) a merger or consolidation in which (a) the Company is a constituent party or (b) a subsidiary of the Company is a constituent party and the Company issues shares of its capital stock pursuant to such merger or consolidation; provided, that, a Deemed Liquidation Event shall not include any such merger or consolidation involving the Company or a subsidiary in which the shares of capital stock of the Company outstanding immediately prior to such merger or consolidation continue to represent, or are converted into or exchanged for shares of capital stock that represent, immediately following such merger or consolidation, at least a majority, by voting power, of the capital stock of (1) the surviving or resulting corporation; or (2) if the surviving or resulting corporation is a wholly owned subsidiary of another corporation immediately following such merger or consolidation, the parent corporation of such surviving or resulting corporation; or (ii) (a) the sale, in a single transaction or series of related transactions, by the Company or any subsidiary of the Company of all or substantially all the assets of the Company and its subsidiaries taken as a whole, or (b) the sale or disposition (whether by merger, consolidation or otherwise, and whether in a single transaction or a series of related transactions) of one</w:t>
      </w:r>
    </w:p>
    <w:p>
      <w:pPr>
        <w:spacing w:after="0" w:line="3" w:lineRule="exact"/>
        <w:rPr>
          <w:sz w:val="20"/>
          <w:szCs w:val="20"/>
          <w:color w:val="auto"/>
        </w:rPr>
      </w:pPr>
    </w:p>
    <w:p>
      <w:pPr>
        <w:ind w:right="200" w:firstLine="8"/>
        <w:spacing w:after="0" w:line="260" w:lineRule="auto"/>
        <w:tabs>
          <w:tab w:leader="none" w:pos="2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 more subsidiaries of the Company if substantially all of the assets of the Company and its subsidiaries taken as a whole are held by such subsidiary or subsidiaries, except where such sale is to a wholly owned subsidiary of the Company.</w:t>
      </w:r>
    </w:p>
    <w:p>
      <w:pPr>
        <w:spacing w:after="0" w:line="17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means the U.S. Securities Exchange Act of 1934, as amended, and all of the rules and regulations promulgated thereunder.</w:t>
      </w:r>
    </w:p>
    <w:p>
      <w:pPr>
        <w:spacing w:after="0" w:line="225" w:lineRule="exact"/>
        <w:rPr>
          <w:sz w:val="20"/>
          <w:szCs w:val="20"/>
          <w:color w:val="auto"/>
        </w:rPr>
      </w:pPr>
    </w:p>
    <w:p>
      <w:pPr>
        <w:ind w:right="60" w:firstLine="441"/>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Exempt Issuance</w:t>
      </w:r>
      <w:r>
        <w:rPr>
          <w:rFonts w:ascii="Times New Roman" w:cs="Times New Roman" w:eastAsia="Times New Roman" w:hAnsi="Times New Roman"/>
          <w:sz w:val="18"/>
          <w:szCs w:val="18"/>
          <w:color w:val="auto"/>
        </w:rPr>
        <w:t>” means the issuance of (a) any securities of the Company to employees, officers or directors, consultants, contractors, vendors or other agents of the Company pursuant to any stock or option plan duly adopted for such purpose, by a majority of the non-employee members of the board of directors of the Company or a majority of the members of a committee of non-employee directors established for such purpose for services rendered to the Company, (b) securities upon the exercise or exchange of or conversion of any securities issued pursuant to the Transaction Documents and/or other securities exercisable or exchangeable for or convertible into shares of Common Stock issued and outstanding on the Original Issue Date, provided that such securities have not been amended since the Original Issue Date to increase the number of such securities or to decrease the exercise price, exchange price or conversion price of such securities (other than in connection with stock splits or combinations and automatic adjustments to such terms pursuant to anti-dilution or similar provisions of such securities) or to extend the term of such securities, (c) securities pursuant to any merger, acquisition or strategic transaction or partnership approved by a majority of the directors of the Company, provided that (i) such securities are issued as “restricted securities” (as defined in Rule 144) or are issued pursuant to an effective registration</w:t>
      </w:r>
    </w:p>
    <w:p>
      <w:pPr>
        <w:sectPr>
          <w:pgSz w:w="11900" w:h="16838" w:orient="portrait"/>
          <w:cols w:equalWidth="0" w:num="1">
            <w:col w:w="11240"/>
          </w:cols>
          <w:pgMar w:left="320" w:top="1417" w:right="339" w:bottom="1440" w:gutter="0" w:footer="0" w:header="0"/>
        </w:sectPr>
      </w:pPr>
    </w:p>
    <w:bookmarkStart w:id="6" w:name="page7"/>
    <w:bookmarkEnd w:id="6"/>
    <w:p>
      <w:pPr>
        <w:spacing w:after="0" w:line="19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statement pursuant to the Securities Act and (ii) any such issuance shall only be to a Person (or to the equityholders of a Person) which is, itself or through its subsidiaries, an operating company or an owner of an asset in a business synergistic with the business of the Company and shall provide to the Company additional benefits in addition to the investment of funds, (d) any Earnout RSU or Earnout Stock (each as defined in the Business Combination Agreement) and (e) any securities by the Company pursuant to any legal settlement or similar arrangement agreed or entered into by the Company, provided that, in the aggregate, not more than 87,321 shares of Common Stock are issued or deemed issued or issuable upon conversion, settlement, exercise or exchange of any such securities that are Options or Convertible Securities, but any such Exempt Issuance shall not include a transaction in which the Company is issuing securities (i) primarily for the purpose of raising capital, including an at-the-market offering, or (ii) to an entity whose primary business is investing in securities.</w:t>
      </w:r>
    </w:p>
    <w:p>
      <w:pPr>
        <w:spacing w:after="0" w:line="18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Group</w:t>
      </w:r>
      <w:r>
        <w:rPr>
          <w:rFonts w:ascii="Times New Roman" w:cs="Times New Roman" w:eastAsia="Times New Roman" w:hAnsi="Times New Roman"/>
          <w:sz w:val="18"/>
          <w:szCs w:val="18"/>
          <w:color w:val="auto"/>
        </w:rPr>
        <w:t>” shall have the meaning ascribed to it in Section 13(d) of the Exchange Act, and all related rules, regulations and jurisprudence.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Options</w:t>
      </w:r>
      <w:r>
        <w:rPr>
          <w:rFonts w:ascii="Times New Roman" w:cs="Times New Roman" w:eastAsia="Times New Roman" w:hAnsi="Times New Roman"/>
          <w:sz w:val="18"/>
          <w:szCs w:val="18"/>
          <w:color w:val="auto"/>
        </w:rPr>
        <w:t>” means any rights, warrants or options to subscribe for or purchase shares of Common Stock or Convertible Securities.</w:t>
      </w:r>
    </w:p>
    <w:p>
      <w:pPr>
        <w:spacing w:after="0" w:line="225" w:lineRule="exact"/>
        <w:rPr>
          <w:sz w:val="20"/>
          <w:szCs w:val="20"/>
          <w:color w:val="auto"/>
        </w:rPr>
      </w:pPr>
    </w:p>
    <w:p>
      <w:pPr>
        <w:ind w:right="100" w:firstLine="441"/>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Option Value</w:t>
      </w:r>
      <w:r>
        <w:rPr>
          <w:rFonts w:ascii="Times New Roman" w:cs="Times New Roman" w:eastAsia="Times New Roman" w:hAnsi="Times New Roman"/>
          <w:sz w:val="18"/>
          <w:szCs w:val="18"/>
          <w:color w:val="auto"/>
        </w:rPr>
        <w:t>” means the value of an Option based on the Black-Scholes Option Pricing model obtained from the “OV” function on Bloomberg determined as of (A) the Trading Day prior to the public announcement of the issuance of the applicable Option, if the issuance of such Option is publicly announced or (B) the Trading Day immediately following the issuance of the applicable Option if the issuance of such Option is not publicly announced, for pricing purposes and reflecting (i) a risk-free interest rate corresponding to the U.S. Treasury rate for a period equal to the remaining term of the applicable Option as of the applicable date of determination, (ii) an expected volatility equal to the greater of 100% and the 100 day volatility obtained from the HVT function on Bloomberg as of (A) the Trading Day immediately following the public announcement of the applicable Option if the issuance of such Option is publicly announced or (B) the Trading Day immediately following the issuance of the applicable Option if the issuance of such Option is not publicly announced, (iii) the underlying price per share used in such calculation shall be the highest weighted average price of the Common Stock during the period beginning on the Trading Day prior to the execution of definitive documentation relating to the issuance of the applicable Option and ending on (A) the Trading Day immediately following the public announcement of such issuance, if the issuance of such Option is publicly announced or</w:t>
      </w:r>
    </w:p>
    <w:p>
      <w:pPr>
        <w:ind w:right="120" w:firstLine="8"/>
        <w:spacing w:after="0" w:line="265" w:lineRule="auto"/>
        <w:tabs>
          <w:tab w:leader="none" w:pos="285"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Trading Day immediately following the issuance of the applicable Option if the issuance of such Option is not publicly announced, (iv) a zero cost of borrow and (v) a 360 day annualization factor, provided, however, in case any Option is issued in connection with the issue or sale of other securities of the Company, together comprising one integrated transaction, in no event shall the Option Value exceed a fraction of the aggregate consideration received (excluding the minimum aggregate amount of additional consideration (as set forth in the instruments relating thereto, without regard to any provision contained therein for a subsequent adjustment of such consideration) payable to the Company upon the exercise of such Options, or in the case of Options for Convertible Securities, the exercise of such Options for Convertible Securities and the conversion or exchange of such Convertible Securities) equal to</w:t>
      </w:r>
    </w:p>
    <w:p>
      <w:pPr>
        <w:ind w:right="320"/>
        <w:spacing w:after="0" w:line="26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 the number of shares of common stock underlying such Option divided by (2) the total number of shares of Common Stock issued or issuable in the integrated transaction (including the number of shares underlying such Option).</w:t>
      </w:r>
    </w:p>
    <w:p>
      <w:pPr>
        <w:spacing w:after="0" w:line="177" w:lineRule="exact"/>
        <w:rPr>
          <w:sz w:val="20"/>
          <w:szCs w:val="20"/>
          <w:color w:val="auto"/>
        </w:rPr>
      </w:pPr>
    </w:p>
    <w:p>
      <w:pPr>
        <w:ind w:right="700" w:firstLine="441"/>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means an individual, partnership, corporation, limited liability company, business trust, joint stock company, trust, unincorporated association, joint venture or any other entity or organization.</w:t>
      </w:r>
    </w:p>
    <w:p>
      <w:pPr>
        <w:spacing w:after="0" w:line="155" w:lineRule="exact"/>
        <w:rPr>
          <w:sz w:val="20"/>
          <w:szCs w:val="20"/>
          <w:color w:val="auto"/>
        </w:rPr>
      </w:pPr>
    </w:p>
    <w:p>
      <w:pPr>
        <w:ind w:right="100" w:firstLine="441"/>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Principal Trading Market</w:t>
      </w:r>
      <w:r>
        <w:rPr>
          <w:rFonts w:ascii="Times New Roman" w:cs="Times New Roman" w:eastAsia="Times New Roman" w:hAnsi="Times New Roman"/>
          <w:sz w:val="18"/>
          <w:szCs w:val="18"/>
          <w:color w:val="auto"/>
        </w:rPr>
        <w:t>” means the national securities exchange or other trading market on which the Common Stock is primarily listed on and quoted for trading, which, as of the Original Issue Date, shall be the Nasdaq Global Market.</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means the U.S. Securities Act of 1933, as amended, and all of the rules and regulations promulgated thereunder.</w:t>
      </w:r>
    </w:p>
    <w:p>
      <w:pPr>
        <w:sectPr>
          <w:pgSz w:w="11900" w:h="16838" w:orient="portrait"/>
          <w:cols w:equalWidth="0" w:num="1">
            <w:col w:w="11240"/>
          </w:cols>
          <w:pgMar w:left="320" w:top="1440" w:right="339" w:bottom="1440" w:gutter="0" w:footer="0" w:header="0"/>
        </w:sectPr>
      </w:pPr>
    </w:p>
    <w:bookmarkStart w:id="7" w:name="page8"/>
    <w:bookmarkEnd w:id="7"/>
    <w:p>
      <w:pPr>
        <w:spacing w:after="0" w:line="190" w:lineRule="exact"/>
        <w:rPr>
          <w:sz w:val="20"/>
          <w:szCs w:val="20"/>
          <w:color w:val="auto"/>
        </w:rPr>
      </w:pPr>
    </w:p>
    <w:p>
      <w:pPr>
        <w:ind w:right="40" w:firstLine="441"/>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Standard Settlement Period</w:t>
      </w:r>
      <w:r>
        <w:rPr>
          <w:rFonts w:ascii="Times New Roman" w:cs="Times New Roman" w:eastAsia="Times New Roman" w:hAnsi="Times New Roman"/>
          <w:sz w:val="18"/>
          <w:szCs w:val="18"/>
          <w:color w:val="auto"/>
        </w:rPr>
        <w:t>” means the standard settlement period, expressed in a number of Trading Days, for the Principal Trading Market with respect to the Common Stock that is in effect on the date of delivery of an applicable Exercise Notice, which as of the Original Issue Date was “T+1.”</w:t>
      </w:r>
    </w:p>
    <w:p>
      <w:pPr>
        <w:spacing w:after="0" w:line="155" w:lineRule="exact"/>
        <w:rPr>
          <w:sz w:val="20"/>
          <w:szCs w:val="20"/>
          <w:color w:val="auto"/>
        </w:rPr>
      </w:pPr>
    </w:p>
    <w:p>
      <w:pPr>
        <w:ind w:right="300" w:firstLine="441"/>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Subscription Agreement</w:t>
      </w:r>
      <w:r>
        <w:rPr>
          <w:rFonts w:ascii="Times New Roman" w:cs="Times New Roman" w:eastAsia="Times New Roman" w:hAnsi="Times New Roman"/>
          <w:sz w:val="18"/>
          <w:szCs w:val="18"/>
          <w:color w:val="auto"/>
        </w:rPr>
        <w:t>” means that certain Subscription Agreement, dated May 6, 2026, by and between the Company and the Investor party thereto.</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Trading Day</w:t>
      </w:r>
      <w:r>
        <w:rPr>
          <w:rFonts w:ascii="Times New Roman" w:cs="Times New Roman" w:eastAsia="Times New Roman" w:hAnsi="Times New Roman"/>
          <w:sz w:val="18"/>
          <w:szCs w:val="18"/>
          <w:color w:val="auto"/>
        </w:rPr>
        <w:t>” means any weekday on which the Principal Trading Market is normally open for trading.</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Transaction Documents</w:t>
      </w:r>
      <w:r>
        <w:rPr>
          <w:rFonts w:ascii="Times New Roman" w:cs="Times New Roman" w:eastAsia="Times New Roman" w:hAnsi="Times New Roman"/>
          <w:sz w:val="18"/>
          <w:szCs w:val="18"/>
          <w:color w:val="auto"/>
        </w:rPr>
        <w:t>” shall have the meaning set forth in the Subscription Agreement.</w:t>
      </w:r>
    </w:p>
    <w:p>
      <w:pPr>
        <w:spacing w:after="0" w:line="225" w:lineRule="exact"/>
        <w:rPr>
          <w:sz w:val="20"/>
          <w:szCs w:val="20"/>
          <w:color w:val="auto"/>
        </w:rPr>
      </w:pPr>
    </w:p>
    <w:p>
      <w:pPr>
        <w:ind w:right="120" w:firstLine="441"/>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Transfer Agent</w:t>
      </w:r>
      <w:r>
        <w:rPr>
          <w:rFonts w:ascii="Times New Roman" w:cs="Times New Roman" w:eastAsia="Times New Roman" w:hAnsi="Times New Roman"/>
          <w:sz w:val="18"/>
          <w:szCs w:val="18"/>
          <w:color w:val="auto"/>
        </w:rPr>
        <w:t>” means Continental Stock Transfer &amp; Trust Company, the Company’s transfer agent and registrar for the Common Stock, and any successor appointed in such capacity.</w:t>
      </w:r>
    </w:p>
    <w:p>
      <w:pPr>
        <w:spacing w:after="0" w:line="155" w:lineRule="exact"/>
        <w:rPr>
          <w:sz w:val="20"/>
          <w:szCs w:val="20"/>
          <w:color w:val="auto"/>
        </w:rPr>
      </w:pPr>
    </w:p>
    <w:p>
      <w:pPr>
        <w:ind w:right="160" w:firstLine="449"/>
        <w:spacing w:after="0" w:line="259" w:lineRule="auto"/>
        <w:tabs>
          <w:tab w:leader="none" w:pos="621"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Issuance of Securities; Registration of Warrants</w:t>
      </w:r>
      <w:r>
        <w:rPr>
          <w:rFonts w:ascii="Times New Roman" w:cs="Times New Roman" w:eastAsia="Times New Roman" w:hAnsi="Times New Roman"/>
          <w:sz w:val="18"/>
          <w:szCs w:val="18"/>
          <w:color w:val="auto"/>
        </w:rPr>
        <w:t>. The Company shall register ownership of this Warrant, upon records to be maintained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for that purpose (the “</w:t>
      </w:r>
      <w:r>
        <w:rPr>
          <w:rFonts w:ascii="Times New Roman" w:cs="Times New Roman" w:eastAsia="Times New Roman" w:hAnsi="Times New Roman"/>
          <w:sz w:val="18"/>
          <w:szCs w:val="18"/>
          <w:b w:val="1"/>
          <w:bCs w:val="1"/>
          <w:color w:val="auto"/>
        </w:rPr>
        <w:t>Warrant Register</w:t>
      </w:r>
      <w:r>
        <w:rPr>
          <w:rFonts w:ascii="Times New Roman" w:cs="Times New Roman" w:eastAsia="Times New Roman" w:hAnsi="Times New Roman"/>
          <w:sz w:val="18"/>
          <w:szCs w:val="18"/>
          <w:color w:val="auto"/>
        </w:rPr>
        <w:t>”), in the name of the record Holder (which shall include the initial Holder or, as the case may be, any assignee to which this Warrant is permissibly assigned hereunder) from time to time. The Company may deem and treat the registered Holder of this Warrant as the absolute owner hereof for the purpose of any exercise hereof or any distribution to the Holder, and for all other purposes, absent actual notice to the contrary.</w:t>
      </w:r>
    </w:p>
    <w:p>
      <w:pPr>
        <w:spacing w:after="0" w:line="179" w:lineRule="exact"/>
        <w:rPr>
          <w:rFonts w:ascii="Times New Roman" w:cs="Times New Roman" w:eastAsia="Times New Roman" w:hAnsi="Times New Roman"/>
          <w:sz w:val="18"/>
          <w:szCs w:val="18"/>
          <w:b w:val="1"/>
          <w:bCs w:val="1"/>
          <w:color w:val="auto"/>
        </w:rPr>
      </w:pPr>
    </w:p>
    <w:p>
      <w:pPr>
        <w:ind w:right="20" w:firstLine="449"/>
        <w:spacing w:after="0" w:line="254" w:lineRule="auto"/>
        <w:tabs>
          <w:tab w:leader="none" w:pos="621"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Registration of Transfers</w:t>
      </w:r>
      <w:r>
        <w:rPr>
          <w:rFonts w:ascii="Times New Roman" w:cs="Times New Roman" w:eastAsia="Times New Roman" w:hAnsi="Times New Roman"/>
          <w:sz w:val="18"/>
          <w:szCs w:val="18"/>
          <w:color w:val="auto"/>
        </w:rPr>
        <w:t>. Subject to compliance with all applicable securities laws, upon request from the Holder to transfer all or any portion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Warrant, the Company shall, or will cause its Transfer Agent to, register the transfer of all or any portion of this Warrant in the Warrant Register, as applicable, upon surrender of this Warrant and payment for all applicable transfer taxes (if any). Upon any such registration or transfer, a new warrant to purchase Common Stock in substantially the form of this Warrant (any such new warrant, a “</w:t>
      </w:r>
      <w:r>
        <w:rPr>
          <w:rFonts w:ascii="Times New Roman" w:cs="Times New Roman" w:eastAsia="Times New Roman" w:hAnsi="Times New Roman"/>
          <w:sz w:val="18"/>
          <w:szCs w:val="18"/>
          <w:b w:val="1"/>
          <w:bCs w:val="1"/>
          <w:color w:val="auto"/>
        </w:rPr>
        <w:t>New Warrant</w:t>
      </w:r>
      <w:r>
        <w:rPr>
          <w:rFonts w:ascii="Times New Roman" w:cs="Times New Roman" w:eastAsia="Times New Roman" w:hAnsi="Times New Roman"/>
          <w:sz w:val="18"/>
          <w:szCs w:val="18"/>
          <w:color w:val="auto"/>
        </w:rPr>
        <w:t xml:space="preserve">”) evidencing the portion of this Warrant so transferred shall be issued to the transferee, and a New Warrant evidencing the remaining portion of this Warrant not so transferred, if any, shall be issued to the transferring Holder. The acceptance of the New Warrant by the transferee thereof shall be deemed the acceptance by such transferee of all of the rights and obligations in respect of the New Warrant that the Holder has in respect of this Warrant. The Company shall, or will cause its Transfer Agent to, prepare, issue and deliver at the Company’s own expense any New Warrant under this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Until due presentment for registration of transfer, the Company may treat the registered Holder hereof as the owner and holder for all purposes, and the Company shall not be affected by any notice to the contrary.</w:t>
      </w:r>
    </w:p>
    <w:p>
      <w:pPr>
        <w:spacing w:after="0" w:line="185" w:lineRule="exact"/>
        <w:rPr>
          <w:rFonts w:ascii="Times New Roman" w:cs="Times New Roman" w:eastAsia="Times New Roman" w:hAnsi="Times New Roman"/>
          <w:sz w:val="18"/>
          <w:szCs w:val="18"/>
          <w:b w:val="1"/>
          <w:bCs w:val="1"/>
          <w:color w:val="auto"/>
        </w:rPr>
      </w:pPr>
    </w:p>
    <w:p>
      <w:pPr>
        <w:ind w:left="620" w:hanging="171"/>
        <w:spacing w:after="0"/>
        <w:tabs>
          <w:tab w:leader="none" w:pos="62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Exercise of Warrants</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b w:val="1"/>
          <w:bCs w:val="1"/>
          <w:color w:val="auto"/>
        </w:rPr>
      </w:pPr>
    </w:p>
    <w:p>
      <w:pPr>
        <w:ind w:right="120" w:firstLine="1000"/>
        <w:spacing w:after="0" w:line="282" w:lineRule="auto"/>
        <w:tabs>
          <w:tab w:leader="none" w:pos="1236"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or any part of this Warrant shall be exercisable by the registered Holder in any manner permitted by this Warrant (taking into account any limitations pursuant to Section 11) at any time and from time to time on or after the Original Issue Date and on or before the Expiration Date.</w:t>
      </w:r>
    </w:p>
    <w:p>
      <w:pPr>
        <w:spacing w:after="0" w:line="161" w:lineRule="exact"/>
        <w:rPr>
          <w:rFonts w:ascii="Times New Roman" w:cs="Times New Roman" w:eastAsia="Times New Roman" w:hAnsi="Times New Roman"/>
          <w:sz w:val="18"/>
          <w:szCs w:val="18"/>
          <w:color w:val="auto"/>
        </w:rPr>
      </w:pPr>
    </w:p>
    <w:p>
      <w:pPr>
        <w:ind w:firstLine="1000"/>
        <w:spacing w:after="0" w:line="253" w:lineRule="auto"/>
        <w:tabs>
          <w:tab w:leader="none" w:pos="1246"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Holder may exercise this Warrant by delivering to the Company (i) an exercise notice, in the form attached as </w:t>
      </w:r>
      <w:r>
        <w:rPr>
          <w:rFonts w:ascii="Times New Roman" w:cs="Times New Roman" w:eastAsia="Times New Roman" w:hAnsi="Times New Roman"/>
          <w:sz w:val="18"/>
          <w:szCs w:val="18"/>
          <w:u w:val="single" w:color="auto"/>
          <w:color w:val="auto"/>
        </w:rPr>
        <w:t>Schedule 1</w:t>
      </w:r>
      <w:r>
        <w:rPr>
          <w:rFonts w:ascii="Times New Roman" w:cs="Times New Roman" w:eastAsia="Times New Roman" w:hAnsi="Times New Roman"/>
          <w:sz w:val="18"/>
          <w:szCs w:val="18"/>
          <w:color w:val="auto"/>
        </w:rPr>
        <w:t xml:space="preserve"> hereto (the “</w:t>
      </w:r>
      <w:r>
        <w:rPr>
          <w:rFonts w:ascii="Times New Roman" w:cs="Times New Roman" w:eastAsia="Times New Roman" w:hAnsi="Times New Roman"/>
          <w:sz w:val="18"/>
          <w:szCs w:val="18"/>
          <w:b w:val="1"/>
          <w:bCs w:val="1"/>
          <w:color w:val="auto"/>
        </w:rPr>
        <w:t>Exercise Notice</w:t>
      </w:r>
      <w:r>
        <w:rPr>
          <w:rFonts w:ascii="Times New Roman" w:cs="Times New Roman" w:eastAsia="Times New Roman" w:hAnsi="Times New Roman"/>
          <w:sz w:val="18"/>
          <w:szCs w:val="18"/>
          <w:color w:val="auto"/>
        </w:rPr>
        <w:t xml:space="preserve">”), completed and duly signed, and (ii) payment of the Exercise Price for the number of Warrant Shares as to which this Warrant is being exercised (which may take the form of a “cashless exercise” if so indicated in the Exercise Notice pursuant to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below), and the date on which the last of such items is delivered to the Company (as determined in accordance with the notice provisions hereof) is an </w:t>
      </w:r>
      <w:r>
        <w:rPr>
          <w:rFonts w:ascii="Times New Roman" w:cs="Times New Roman" w:eastAsia="Times New Roman" w:hAnsi="Times New Roman"/>
          <w:sz w:val="18"/>
          <w:szCs w:val="18"/>
          <w:b w:val="1"/>
          <w:bCs w:val="1"/>
          <w:color w:val="auto"/>
        </w:rPr>
        <w:t>“Exercise Date</w:t>
      </w:r>
      <w:r>
        <w:rPr>
          <w:rFonts w:ascii="Times New Roman" w:cs="Times New Roman" w:eastAsia="Times New Roman" w:hAnsi="Times New Roman"/>
          <w:sz w:val="18"/>
          <w:szCs w:val="18"/>
          <w:color w:val="auto"/>
        </w:rPr>
        <w:t>.” The Holder shall not be required to deliver the original Warrant in order to effect an exercise hereunder. Execution and delivery of the Exercise Notice shall have the same effect as cancellation of the original Warrant and issuance of a New Warrant evidencing the right to purchase the remaining number of Warrant Shares, if any. The delivery by (or on behalf of) the Holder of the Exercise Notice and the applicable Exercise Price shall constitute the Holder’s certification to the Company that, in the case of an exercise for cash, its representations contained in Section 6(d), Section 6(e) and Schedule A of the Subscription Agreement are true and correct as of the Exercise Date as if remade in their entirety (or, in the case of any transferee Holder that is not a party to the Subscription Agreement, such transferee Holder’s certification to the Company that such representations are true</w:t>
      </w:r>
    </w:p>
    <w:p>
      <w:pPr>
        <w:sectPr>
          <w:pgSz w:w="11900" w:h="16838" w:orient="portrait"/>
          <w:cols w:equalWidth="0" w:num="1">
            <w:col w:w="11220"/>
          </w:cols>
          <w:pgMar w:left="320" w:top="1440" w:right="359" w:bottom="1440" w:gutter="0" w:footer="0" w:header="0"/>
        </w:sectPr>
      </w:pPr>
    </w:p>
    <w:bookmarkStart w:id="8" w:name="page9"/>
    <w:bookmarkEnd w:id="8"/>
    <w:p>
      <w:pPr>
        <w:spacing w:after="0" w:line="194"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and correct as to such transferee Holder as of the Exercise Date). The Holder and the Company shall maintain records showing the number of Warrant Shares purchased and the date of such purchases. The Company shall deliver any objection to any Exercise Notice (i) on the Trading Day of receipt of such notice, if such notice is delivered on a Trading Day prior to the opening of, or during, “regular trading hours” (as defined in Rule 600(b) of Regulation NMS promulgated under the federal securities laws) on such Trading Day, and (ii) within one (1) Trading Day of receipt of such notice, if such notice is delivered after the close of “regular trading hours” on a Trading Day or on a day that is not a Trading Day.</w:t>
      </w:r>
    </w:p>
    <w:p>
      <w:pPr>
        <w:spacing w:after="0" w:line="183" w:lineRule="exact"/>
        <w:rPr>
          <w:sz w:val="20"/>
          <w:szCs w:val="20"/>
          <w:color w:val="auto"/>
        </w:rPr>
      </w:pPr>
    </w:p>
    <w:p>
      <w:pPr>
        <w:ind w:right="60" w:firstLine="1000"/>
        <w:spacing w:after="0" w:line="266" w:lineRule="auto"/>
        <w:tabs>
          <w:tab w:leader="none" w:pos="1236" w:val="left"/>
        </w:tabs>
        <w:numPr>
          <w:ilvl w:val="2"/>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and any assignee, by acceptance of this Warrant, acknowledge and agree that, by reason of the provisions of this section, following the purchase of a portion of the Warrant Shares hereunder, the number of Warrant Shares available for purchase hereunder at any given time may be less than the amount stated on the face hereof.</w:t>
      </w:r>
    </w:p>
    <w:p>
      <w:pPr>
        <w:spacing w:after="0" w:line="171" w:lineRule="exact"/>
        <w:rPr>
          <w:rFonts w:ascii="Times New Roman" w:cs="Times New Roman" w:eastAsia="Times New Roman" w:hAnsi="Times New Roman"/>
          <w:sz w:val="18"/>
          <w:szCs w:val="18"/>
          <w:color w:val="auto"/>
        </w:rPr>
      </w:pPr>
    </w:p>
    <w:p>
      <w:pPr>
        <w:ind w:left="620" w:hanging="171"/>
        <w:spacing w:after="0"/>
        <w:tabs>
          <w:tab w:leader="none" w:pos="620" w:val="left"/>
        </w:tabs>
        <w:numPr>
          <w:ilvl w:val="1"/>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Delivery of Warrant Shares</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b w:val="1"/>
          <w:bCs w:val="1"/>
          <w:color w:val="auto"/>
        </w:rPr>
      </w:pPr>
    </w:p>
    <w:p>
      <w:pPr>
        <w:ind w:right="120" w:firstLine="1000"/>
        <w:spacing w:after="0" w:line="269" w:lineRule="auto"/>
        <w:tabs>
          <w:tab w:leader="none" w:pos="1236" w:val="left"/>
        </w:tabs>
        <w:numPr>
          <w:ilvl w:val="2"/>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Upon exercise of this Warrant, the Company shall promptly (but in no event later than the number of Trading Days comprising the Standard Settlement Period following the Exercise Date), upon the request of the Holder, cause the Transfer Agent to credit such aggregate number of shares of Common Stock specified by the Holder in the Exercise Notice and to which the Holder is entitled pursuant to such exercise (the “</w:t>
      </w:r>
      <w:r>
        <w:rPr>
          <w:rFonts w:ascii="Times New Roman" w:cs="Times New Roman" w:eastAsia="Times New Roman" w:hAnsi="Times New Roman"/>
          <w:sz w:val="17"/>
          <w:szCs w:val="17"/>
          <w:b w:val="1"/>
          <w:bCs w:val="1"/>
          <w:color w:val="auto"/>
        </w:rPr>
        <w:t>Exercise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Shares</w:t>
      </w:r>
      <w:r>
        <w:rPr>
          <w:rFonts w:ascii="Times New Roman" w:cs="Times New Roman" w:eastAsia="Times New Roman" w:hAnsi="Times New Roman"/>
          <w:sz w:val="17"/>
          <w:szCs w:val="17"/>
          <w:color w:val="auto"/>
        </w:rPr>
        <w:t>”) to (i) the Holder’s or its designee’s balance account with The Depository Trust Company (“</w:t>
      </w:r>
      <w:r>
        <w:rPr>
          <w:rFonts w:ascii="Times New Roman" w:cs="Times New Roman" w:eastAsia="Times New Roman" w:hAnsi="Times New Roman"/>
          <w:sz w:val="17"/>
          <w:szCs w:val="17"/>
          <w:b w:val="1"/>
          <w:bCs w:val="1"/>
          <w:color w:val="auto"/>
        </w:rPr>
        <w:t>DTC</w:t>
      </w:r>
      <w:r>
        <w:rPr>
          <w:rFonts w:ascii="Times New Roman" w:cs="Times New Roman" w:eastAsia="Times New Roman" w:hAnsi="Times New Roman"/>
          <w:sz w:val="17"/>
          <w:szCs w:val="17"/>
          <w:color w:val="auto"/>
        </w:rPr>
        <w:t>”) through its Deposit Withdrawal At Custodian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system or (ii) in book-entry form via a direct registration system (“</w:t>
      </w:r>
      <w:r>
        <w:rPr>
          <w:rFonts w:ascii="Times New Roman" w:cs="Times New Roman" w:eastAsia="Times New Roman" w:hAnsi="Times New Roman"/>
          <w:sz w:val="17"/>
          <w:szCs w:val="17"/>
          <w:b w:val="1"/>
          <w:bCs w:val="1"/>
          <w:color w:val="auto"/>
        </w:rPr>
        <w:t>DRS</w:t>
      </w:r>
      <w:r>
        <w:rPr>
          <w:rFonts w:ascii="Times New Roman" w:cs="Times New Roman" w:eastAsia="Times New Roman" w:hAnsi="Times New Roman"/>
          <w:sz w:val="17"/>
          <w:szCs w:val="17"/>
          <w:color w:val="auto"/>
        </w:rPr>
        <w:t>”) maintained by or on behalf of the Transfer Agent, in each case, so long as either</w:t>
      </w:r>
    </w:p>
    <w:p>
      <w:pPr>
        <w:spacing w:after="0" w:line="2" w:lineRule="exact"/>
        <w:rPr>
          <w:rFonts w:ascii="Times New Roman" w:cs="Times New Roman" w:eastAsia="Times New Roman" w:hAnsi="Times New Roman"/>
          <w:sz w:val="17"/>
          <w:szCs w:val="17"/>
          <w:color w:val="auto"/>
        </w:rPr>
      </w:pPr>
    </w:p>
    <w:p>
      <w:pPr>
        <w:ind w:firstLine="8"/>
        <w:spacing w:after="0" w:line="269" w:lineRule="auto"/>
        <w:tabs>
          <w:tab w:leader="none" w:pos="295"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there is an effective registration statement permitting the issuance of the Warrant Shares to or the resale of such Warrant Shares by the Holder or (B) the Exercise Shares are eligible for resale by the Holder without volume or manner-of-sale restrictions pursuant to Rule 144 promulgated under the Securities Act (assuming cashless exercise of this Warrant). If the conditions set forth in clauses (A) and (B) above are not then met, the Company shall cause the Transfer Agent to issue such Exercise Shares in the name of the Holder or its designee in restricted book-entry form in the Company’s share register with an appropriated legend regarding restriction on transferability. The Holder, or any Person so designated by the Holder to receive Warrant Shares, shall be deemed to have become the holder of record of such Warrant Shares as of the Exercise Date, irrespective of the date such Warrant Shares are credited to the Holder’s DTC account, the date of the book entry positions or the date of delivery of the certificates evidencing such Exercise Shares, as the case may be.</w:t>
      </w:r>
    </w:p>
    <w:p>
      <w:pPr>
        <w:spacing w:after="0" w:line="175" w:lineRule="exact"/>
        <w:rPr>
          <w:rFonts w:ascii="Times New Roman" w:cs="Times New Roman" w:eastAsia="Times New Roman" w:hAnsi="Times New Roman"/>
          <w:sz w:val="17"/>
          <w:szCs w:val="17"/>
          <w:color w:val="auto"/>
        </w:rPr>
      </w:pPr>
    </w:p>
    <w:p>
      <w:pPr>
        <w:ind w:right="380" w:firstLine="1000"/>
        <w:spacing w:after="0" w:line="282" w:lineRule="auto"/>
        <w:tabs>
          <w:tab w:leader="none" w:pos="1246" w:val="left"/>
        </w:tabs>
        <w:numPr>
          <w:ilvl w:val="2"/>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fails to cause the Transfer Agent to transmit to the Holder the Warrant Shares pursuant to Section 5(a) by the Warrant Share Delivery Date, then the Holder will have the right to rescind such exercise.</w:t>
      </w:r>
    </w:p>
    <w:p>
      <w:pPr>
        <w:spacing w:after="0" w:line="161" w:lineRule="exact"/>
        <w:rPr>
          <w:rFonts w:ascii="Times New Roman" w:cs="Times New Roman" w:eastAsia="Times New Roman" w:hAnsi="Times New Roman"/>
          <w:sz w:val="18"/>
          <w:szCs w:val="18"/>
          <w:color w:val="auto"/>
        </w:rPr>
      </w:pPr>
    </w:p>
    <w:p>
      <w:pPr>
        <w:ind w:right="40" w:firstLine="1000"/>
        <w:spacing w:after="0" w:line="253" w:lineRule="auto"/>
        <w:tabs>
          <w:tab w:leader="none" w:pos="1236" w:val="left"/>
        </w:tabs>
        <w:numPr>
          <w:ilvl w:val="2"/>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extent permitted by law, the Company’s obligations to issue and deliver Warrant Shares in accordance with and subject to the terms hereof (including the limitations set forth in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below) are absolute and unconditional, irrespective of any action or inaction by the Holder to enforce the same, any waiver or consent with respect to any provision hereof, the recovery of any judgment against any Person or any action to enforce the same, or any setoff, counterclaim, recoupment, limitation or termination, or any breach or alleged breach by the Holder or any other Person of any obligation to the Company or any violation or alleged violation of law by the Holder or any other Person, and irrespective of any other circumstance that might otherwise limit such obligation of the Company to the Holder in connection with the issuance of Warrant Shares. Nothing herein shall limit the Holder’s right to pursue any other remedies available to it hereunder, at law or in equity including, without limitation, a decree of specific performance and/or injunctive relief with respect to the Company’s failure to timely deliver Exercise Shares; provided, however, that the Holder shall not be entitled to both (i) require the Company to reinstate the portion of the Warrant and equivalent number of Warrant Shares for which such exercise was not timely honored and (ii) receive the number of shares of Common Stock that would have been issued if the Company had timely complied with its delivery requirements under Section 5(a).</w:t>
      </w:r>
    </w:p>
    <w:p>
      <w:pPr>
        <w:spacing w:after="0" w:line="187" w:lineRule="exact"/>
        <w:rPr>
          <w:rFonts w:ascii="Times New Roman" w:cs="Times New Roman" w:eastAsia="Times New Roman" w:hAnsi="Times New Roman"/>
          <w:sz w:val="18"/>
          <w:szCs w:val="18"/>
          <w:color w:val="auto"/>
        </w:rPr>
      </w:pPr>
    </w:p>
    <w:p>
      <w:pPr>
        <w:ind w:right="140" w:firstLine="449"/>
        <w:spacing w:after="0" w:line="286" w:lineRule="auto"/>
        <w:tabs>
          <w:tab w:leader="none" w:pos="621" w:val="left"/>
        </w:tabs>
        <w:numPr>
          <w:ilvl w:val="1"/>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Charges, Taxes and Expenses</w:t>
      </w:r>
      <w:r>
        <w:rPr>
          <w:rFonts w:ascii="Times New Roman" w:cs="Times New Roman" w:eastAsia="Times New Roman" w:hAnsi="Times New Roman"/>
          <w:sz w:val="18"/>
          <w:szCs w:val="18"/>
          <w:color w:val="auto"/>
        </w:rPr>
        <w:t>. Issuance and delivery of Exercise Shares shall be made without charge to the Holder for any transfer agent fee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incidental expense (excluding any applicable stamp duties) in respect</w:t>
      </w:r>
    </w:p>
    <w:p>
      <w:pPr>
        <w:sectPr>
          <w:pgSz w:w="11900" w:h="16838" w:orient="portrait"/>
          <w:cols w:equalWidth="0" w:num="1">
            <w:col w:w="11240"/>
          </w:cols>
          <w:pgMar w:left="320" w:top="1440" w:right="339" w:bottom="1440" w:gutter="0" w:footer="0" w:header="0"/>
        </w:sectPr>
      </w:pPr>
    </w:p>
    <w:bookmarkStart w:id="9" w:name="page10"/>
    <w:bookmarkEnd w:id="9"/>
    <w:p>
      <w:pPr>
        <w:spacing w:after="0" w:line="194" w:lineRule="exact"/>
        <w:rPr>
          <w:sz w:val="20"/>
          <w:szCs w:val="20"/>
          <w:color w:val="auto"/>
        </w:rPr>
      </w:pPr>
    </w:p>
    <w:p>
      <w:pPr>
        <w:jc w:val="both"/>
        <w:ind w:right="40"/>
        <w:spacing w:after="0" w:line="261" w:lineRule="auto"/>
        <w:rPr>
          <w:sz w:val="20"/>
          <w:szCs w:val="20"/>
          <w:color w:val="auto"/>
        </w:rPr>
      </w:pPr>
      <w:r>
        <w:rPr>
          <w:rFonts w:ascii="Times New Roman" w:cs="Times New Roman" w:eastAsia="Times New Roman" w:hAnsi="Times New Roman"/>
          <w:sz w:val="18"/>
          <w:szCs w:val="18"/>
          <w:color w:val="auto"/>
        </w:rPr>
        <w:t>of the issuance of such shares, all of which expenses shall be paid by the Company; provided, however, that the Company shall not be required to pay any tax or expense that may be payable in respect of any transfer involved in the registration of any Warrant Shares or the Warrants in a name other than that of the Holder or an Affiliate thereof. The Holder shall be responsible for all other tax liability that may arise as a result of holding or transferring this Warrant or receiving Warrant Shares upon exercise hereof.</w:t>
      </w:r>
    </w:p>
    <w:p>
      <w:pPr>
        <w:spacing w:after="0" w:line="176" w:lineRule="exact"/>
        <w:rPr>
          <w:sz w:val="20"/>
          <w:szCs w:val="20"/>
          <w:color w:val="auto"/>
        </w:rPr>
      </w:pPr>
    </w:p>
    <w:p>
      <w:pPr>
        <w:ind w:right="80" w:firstLine="449"/>
        <w:spacing w:after="0" w:line="259" w:lineRule="auto"/>
        <w:tabs>
          <w:tab w:leader="none" w:pos="621"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Replacement of Warrant</w:t>
      </w:r>
      <w:r>
        <w:rPr>
          <w:rFonts w:ascii="Times New Roman" w:cs="Times New Roman" w:eastAsia="Times New Roman" w:hAnsi="Times New Roman"/>
          <w:sz w:val="18"/>
          <w:szCs w:val="18"/>
          <w:color w:val="auto"/>
        </w:rPr>
        <w:t>. If this Warrant is mutilated, lost, stolen or destroyed, the Company shall issue or cause to be issued in exchange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substitution for and upon cancellation hereof, or in lieu of and substitution for this Warrant, a New Warrant, but only upon receipt of evidence reasonably satisfactory to the Company of such loss, theft or destruction (in such case) and, in each case, a customary and reasonable contractual indemnity, if requested by the Company (which shall not include the posting of any bond). If a New Warrant is requested as a result of a mutilation of this Warrant, then the Holder shall deliver such mutilated Warrant to the Company as a condition precedent to the Company’s obligation to issue the New Warrant.</w:t>
      </w:r>
    </w:p>
    <w:p>
      <w:pPr>
        <w:spacing w:after="0" w:line="179" w:lineRule="exact"/>
        <w:rPr>
          <w:rFonts w:ascii="Times New Roman" w:cs="Times New Roman" w:eastAsia="Times New Roman" w:hAnsi="Times New Roman"/>
          <w:sz w:val="18"/>
          <w:szCs w:val="18"/>
          <w:b w:val="1"/>
          <w:bCs w:val="1"/>
          <w:color w:val="auto"/>
        </w:rPr>
      </w:pPr>
    </w:p>
    <w:p>
      <w:pPr>
        <w:ind w:right="40" w:firstLine="449"/>
        <w:spacing w:after="0" w:line="254" w:lineRule="auto"/>
        <w:tabs>
          <w:tab w:leader="none" w:pos="621"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Reservation of Warrant Shares</w:t>
      </w:r>
      <w:r>
        <w:rPr>
          <w:rFonts w:ascii="Times New Roman" w:cs="Times New Roman" w:eastAsia="Times New Roman" w:hAnsi="Times New Roman"/>
          <w:sz w:val="18"/>
          <w:szCs w:val="18"/>
          <w:color w:val="auto"/>
        </w:rPr>
        <w:t>. The Company covenants that it will, at all times while this Warrant is outstanding, reserve and keep available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out of the aggregate of its authorized but unissued and otherwise unreserved Common Stock, solely for the purpose of enabling it to issue Warrant Shares upon exercise of this Warrant as herein provided, the number of Warrant Shares that are initially issuable and deliverable upon the exercise of this entire Warrant, free from preemptive rights or any other contingent purchase rights of persons other than the Holder (taking into account the adjustments and restrictions of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The Company covenants that all Warrant Shares so issuable and deliverable shall, upon issuance and the payment of the applicable Exercise Price in accordance with the terms hereof, be duly and validly authorized, issued and fully paid and non-assessable. The Company will take all such action as may be reasonably necessary to assure that such shares of Common Stock may be issued as provided herein without violation of any applicable law or regulation, or of any requirements of any securities exchange or automated quotation system upon which the Common Stock may be listed. The Company further covenants that it will not, without the prior written consent of the Holder, take any actions to increase the par value of the Common Stock at any time while this Warrant is outstanding.</w:t>
      </w:r>
    </w:p>
    <w:p>
      <w:pPr>
        <w:spacing w:after="0" w:line="185" w:lineRule="exact"/>
        <w:rPr>
          <w:rFonts w:ascii="Times New Roman" w:cs="Times New Roman" w:eastAsia="Times New Roman" w:hAnsi="Times New Roman"/>
          <w:sz w:val="18"/>
          <w:szCs w:val="18"/>
          <w:b w:val="1"/>
          <w:bCs w:val="1"/>
          <w:color w:val="auto"/>
        </w:rPr>
      </w:pPr>
    </w:p>
    <w:p>
      <w:pPr>
        <w:ind w:right="280" w:firstLine="449"/>
        <w:spacing w:after="0" w:line="286" w:lineRule="auto"/>
        <w:tabs>
          <w:tab w:leader="none" w:pos="621"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Certain Adjustments</w:t>
      </w:r>
      <w:r>
        <w:rPr>
          <w:rFonts w:ascii="Times New Roman" w:cs="Times New Roman" w:eastAsia="Times New Roman" w:hAnsi="Times New Roman"/>
          <w:sz w:val="18"/>
          <w:szCs w:val="18"/>
          <w:color w:val="auto"/>
        </w:rPr>
        <w:t>. The Exercise Price and number of Warrant Shares issuable upon exercise of this Warrant are subject to adjustment from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time to time as set forth in this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w:t>
      </w:r>
    </w:p>
    <w:p>
      <w:pPr>
        <w:spacing w:after="0" w:line="158" w:lineRule="exact"/>
        <w:rPr>
          <w:rFonts w:ascii="Times New Roman" w:cs="Times New Roman" w:eastAsia="Times New Roman" w:hAnsi="Times New Roman"/>
          <w:sz w:val="18"/>
          <w:szCs w:val="18"/>
          <w:b w:val="1"/>
          <w:bCs w:val="1"/>
          <w:color w:val="auto"/>
        </w:rPr>
      </w:pPr>
    </w:p>
    <w:p>
      <w:pPr>
        <w:ind w:right="20" w:firstLine="1000"/>
        <w:spacing w:after="0" w:line="253" w:lineRule="auto"/>
        <w:tabs>
          <w:tab w:leader="none" w:pos="1236" w:val="left"/>
        </w:tabs>
        <w:numPr>
          <w:ilvl w:val="1"/>
          <w:numId w:val="8"/>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Stock Dividends and Splits</w:t>
      </w:r>
      <w:r>
        <w:rPr>
          <w:rFonts w:ascii="Times New Roman" w:cs="Times New Roman" w:eastAsia="Times New Roman" w:hAnsi="Times New Roman"/>
          <w:sz w:val="18"/>
          <w:szCs w:val="18"/>
          <w:color w:val="auto"/>
        </w:rPr>
        <w:t>. If the Company at any time while this Warrant is outstanding: (i) pays a stock dividend or otherwise makes a distribution or distributions on shares of its Common Stock or any other equity or equity equivalent securities payable in shares of Common Stock (which, for avoidance of doubt, shall not include any shares of Common Stock issued by the Company upon exercise of this Warrant or any cash distributions), (ii) subdivides outstanding shares of Common Stock into a larger number of shares, (iii) combines (including by way of a reverse stock split) outstanding shares of Common Stock into a smaller number of shares, or (iv) issues, in the event of a reclassification of shares of the Common Stock, any shares of capital stock of the Company, then in each case the Exercise Price shall be multiplied by a fraction of which the numerator shall be the number of shares of Common Stock (excluding treasury shares, if any) outstanding immediately before such event and of which the denominator shall be the number of shares of Common Stock outstanding immediately after such event, and the number of shares issuable upon exercise of this Warrant shall be proportionately adjusted such that the aggregate Exercise Price of this Warrant shall remain unchanged. Any adjustment made pursuant to this Section 9(a) shall become effective immediately after the record date for the determination of stockholders entitled to receive such dividend or distribution and shall become effective immediately after the effective date in the case of a subdivision, combination or re-classification.</w:t>
      </w:r>
    </w:p>
    <w:p>
      <w:pPr>
        <w:spacing w:after="0" w:line="191" w:lineRule="exact"/>
        <w:rPr>
          <w:rFonts w:ascii="Times New Roman" w:cs="Times New Roman" w:eastAsia="Times New Roman" w:hAnsi="Times New Roman"/>
          <w:sz w:val="18"/>
          <w:szCs w:val="18"/>
          <w:u w:val="single" w:color="auto"/>
          <w:color w:val="auto"/>
        </w:rPr>
      </w:pPr>
    </w:p>
    <w:p>
      <w:pPr>
        <w:ind w:firstLine="1000"/>
        <w:spacing w:after="0" w:line="256" w:lineRule="auto"/>
        <w:tabs>
          <w:tab w:leader="none" w:pos="1246" w:val="left"/>
        </w:tabs>
        <w:numPr>
          <w:ilvl w:val="1"/>
          <w:numId w:val="8"/>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Pro Rata Distributions</w:t>
      </w:r>
      <w:r>
        <w:rPr>
          <w:rFonts w:ascii="Times New Roman" w:cs="Times New Roman" w:eastAsia="Times New Roman" w:hAnsi="Times New Roman"/>
          <w:sz w:val="18"/>
          <w:szCs w:val="18"/>
          <w:color w:val="auto"/>
        </w:rPr>
        <w:t>. If the Company declares or makes any dividend or other distribution of its assets (or rights to acquire its assets) to holders of shares of Common Stock, by way of return of capital or otherwise (including, without limitation, any distribution of cash, stock or other securities, property or options by way of a dividend, spin off, reclassification, corporate rearrangement, scheme of arrangement or other similar transaction, but excluding in any voluntary or involuntary liquidation, dissolution or winding up of the Company or Deemed Liquidation Event) (a “</w:t>
      </w:r>
      <w:r>
        <w:rPr>
          <w:rFonts w:ascii="Times New Roman" w:cs="Times New Roman" w:eastAsia="Times New Roman" w:hAnsi="Times New Roman"/>
          <w:sz w:val="18"/>
          <w:szCs w:val="18"/>
          <w:b w:val="1"/>
          <w:bCs w:val="1"/>
          <w:color w:val="auto"/>
        </w:rPr>
        <w:t>Distribution</w:t>
      </w:r>
      <w:r>
        <w:rPr>
          <w:rFonts w:ascii="Times New Roman" w:cs="Times New Roman" w:eastAsia="Times New Roman" w:hAnsi="Times New Roman"/>
          <w:sz w:val="18"/>
          <w:szCs w:val="18"/>
          <w:color w:val="auto"/>
        </w:rPr>
        <w:t>”), at any time after the issuance of this Warrant, then, in each such case, the Holder shall be entitled to participate in such Distribution to the same extent that the Holder would have participated</w:t>
      </w:r>
    </w:p>
    <w:p>
      <w:pPr>
        <w:sectPr>
          <w:pgSz w:w="11900" w:h="16838" w:orient="portrait"/>
          <w:cols w:equalWidth="0" w:num="1">
            <w:col w:w="11220"/>
          </w:cols>
          <w:pgMar w:left="320" w:top="1440" w:right="359" w:bottom="1440" w:gutter="0" w:footer="0" w:header="0"/>
        </w:sectPr>
      </w:pPr>
    </w:p>
    <w:bookmarkStart w:id="10" w:name="page11"/>
    <w:bookmarkEnd w:id="10"/>
    <w:p>
      <w:pPr>
        <w:spacing w:after="0" w:line="254" w:lineRule="auto"/>
        <w:rPr>
          <w:sz w:val="20"/>
          <w:szCs w:val="20"/>
          <w:color w:val="auto"/>
        </w:rPr>
      </w:pPr>
      <w:r>
        <w:rPr>
          <w:rFonts w:ascii="Times New Roman" w:cs="Times New Roman" w:eastAsia="Times New Roman" w:hAnsi="Times New Roman"/>
          <w:sz w:val="18"/>
          <w:szCs w:val="18"/>
          <w:color w:val="auto"/>
        </w:rPr>
        <w:t>therein if the Holder had held the number of shares of Common Stock acquirable upon complete exercise of this Warrant (without regard to any limitations on exercise hereof, including without limitation, any applicable Beneficial Ownership Limitation) immediately before the date of which a record is taken for such Distribution, or, if no such record is taken, the date as of which the record holders of shares of Common Stock are to be determined for the participation in such Distribution (provided, however, that, to the extent that the Holder’s right to participate in any such Distribution would result in the Holder exceeding any applicable Beneficial Ownership Limitation, then the Holder shall not be entitled to participate in such Distribution to such extent (or in the beneficial ownership of any shares of Common Stock as a result of such Distribution to such extent) and the portion of such Distribution shall be held in abeyance for the benefit of the Holder until such time, if ever, as its right thereto would not result in the Holder exceeding any applicable Beneficial Ownership Limitation).</w:t>
      </w:r>
    </w:p>
    <w:p>
      <w:pPr>
        <w:spacing w:after="0" w:line="192" w:lineRule="exact"/>
        <w:rPr>
          <w:sz w:val="20"/>
          <w:szCs w:val="20"/>
          <w:color w:val="auto"/>
        </w:rPr>
      </w:pPr>
    </w:p>
    <w:p>
      <w:pPr>
        <w:ind w:firstLine="980"/>
        <w:spacing w:after="0" w:line="253" w:lineRule="auto"/>
        <w:tabs>
          <w:tab w:leader="none" w:pos="1217" w:val="left"/>
        </w:tabs>
        <w:numPr>
          <w:ilvl w:val="1"/>
          <w:numId w:val="9"/>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Purchase Rights</w:t>
      </w:r>
      <w:r>
        <w:rPr>
          <w:rFonts w:ascii="Times New Roman" w:cs="Times New Roman" w:eastAsia="Times New Roman" w:hAnsi="Times New Roman"/>
          <w:sz w:val="18"/>
          <w:szCs w:val="18"/>
          <w:color w:val="auto"/>
        </w:rPr>
        <w:t>. In addition to any adjustments pursuant to Section 9(a) above, if at any time after the Original Issue Date the Company grants, issues or sells any Common Stock Equivalents or rights to purchase stock, warrants, securities or other property pro rata to the record holders of any class of shares of Common Stock (the “</w:t>
      </w:r>
      <w:r>
        <w:rPr>
          <w:rFonts w:ascii="Times New Roman" w:cs="Times New Roman" w:eastAsia="Times New Roman" w:hAnsi="Times New Roman"/>
          <w:sz w:val="18"/>
          <w:szCs w:val="18"/>
          <w:b w:val="1"/>
          <w:bCs w:val="1"/>
          <w:color w:val="auto"/>
        </w:rPr>
        <w:t>Purchase Rights</w:t>
      </w:r>
      <w:r>
        <w:rPr>
          <w:rFonts w:ascii="Times New Roman" w:cs="Times New Roman" w:eastAsia="Times New Roman" w:hAnsi="Times New Roman"/>
          <w:sz w:val="18"/>
          <w:szCs w:val="18"/>
          <w:color w:val="auto"/>
        </w:rPr>
        <w:t>”), then the Holder will be entitled to acquire, upon the terms applicable to such Purchase Rights, the aggregate Purchase Rights which the Holder could have acquired if the Holder had held the number of shares of Common Stock acquirable upon complete exercise of this Warrant (without regard to any limitations on exercise hereof, including without limitation, any applicable Beneficial Ownership Limitation) immediately before the date on which a record is taken for the grant, issuance or sale of such Purchase Rights, or, if no such record is taken, the date as of which the record holders of shares of Common Stock are to be determined for the grant, issue or sale of such Purchase Rights (provided, however, that, to the extent that the Holder’s right to participate in any such Purchase Right would result in the Holder exceeding any applicable Beneficial Ownership Limitation, then the Holder shall not be entitled to participate in such Purchase Right to such extent (or beneficial ownership of such shares of Common Stock as a result of such Purchase Right to such extent) and such Purchase Right to such extent shall be held in abeyance for the Holder until such time, if ever, as its right thereto would not result in the Holder exceeding any applicable Beneficial Ownership Limitation). To the extent that the issue price of such Purchase Rights would result in an adjustment of the Exercise Price pursuant to Section 9(c), such adjustment shall not occur to the extent the Holders were granted the right to acquire such Purchase Rights on the applicable terms.</w:t>
      </w:r>
    </w:p>
    <w:p>
      <w:pPr>
        <w:spacing w:after="0" w:line="214" w:lineRule="exact"/>
        <w:rPr>
          <w:rFonts w:ascii="Times New Roman" w:cs="Times New Roman" w:eastAsia="Times New Roman" w:hAnsi="Times New Roman"/>
          <w:sz w:val="18"/>
          <w:szCs w:val="18"/>
          <w:u w:val="single" w:color="auto"/>
          <w:color w:val="auto"/>
        </w:rPr>
      </w:pPr>
    </w:p>
    <w:p>
      <w:pPr>
        <w:ind w:left="920" w:hanging="264"/>
        <w:spacing w:after="0"/>
        <w:tabs>
          <w:tab w:leader="none" w:pos="920" w:val="left"/>
        </w:tabs>
        <w:numPr>
          <w:ilvl w:val="0"/>
          <w:numId w:val="10"/>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Fundamental Transactions</w:t>
      </w:r>
      <w:r>
        <w:rPr>
          <w:rFonts w:ascii="Times New Roman" w:cs="Times New Roman" w:eastAsia="Times New Roman" w:hAnsi="Times New Roman"/>
          <w:sz w:val="18"/>
          <w:szCs w:val="18"/>
          <w:color w:val="auto"/>
        </w:rPr>
        <w:t>.</w:t>
      </w:r>
    </w:p>
    <w:p>
      <w:pPr>
        <w:spacing w:after="0" w:line="252" w:lineRule="exact"/>
        <w:rPr>
          <w:rFonts w:ascii="Times New Roman" w:cs="Times New Roman" w:eastAsia="Times New Roman" w:hAnsi="Times New Roman"/>
          <w:sz w:val="18"/>
          <w:szCs w:val="18"/>
          <w:u w:val="single" w:color="auto"/>
          <w:color w:val="auto"/>
        </w:rPr>
      </w:pPr>
    </w:p>
    <w:p>
      <w:pPr>
        <w:ind w:left="580" w:firstLine="643"/>
        <w:spacing w:after="0" w:line="268" w:lineRule="auto"/>
        <w:tabs>
          <w:tab w:leader="none" w:pos="1443" w:val="left"/>
        </w:tabs>
        <w:numPr>
          <w:ilvl w:val="2"/>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at any time while this Warrant is outstanding, (i) the Company, directly or indirectly, in one or more related transactions effects any merger or consolidation of the Company with or into another Person, (ii) the Company (and all of its subsidiaries, taken as a whole), directly or indirectly, effects any sale, lease, license, assignment, transfer, conveyance or other disposition of all or substantially all of its assets in one or a series of related transactions, (iii) any, direct or indirect, purchase offer, tender offer or exchange offer (whether by the Company or another Person) is completed pursuant to which holders of Common Stock are permitted to sell, tender or exchange their shares for other securities, cash or property and has been accepted by the holders of 50% or more of the outstanding Common Stock or 50% or more of the voting power of the common equity of the Company, (iv) the Company, directly or indirectly, in one or more related transactions effects any reclassification, reorganization or recapitalization of the Common Stock or any compulsory share exchange pursuant to which the Common Stock is effectively converted into or exchanged for other securities, cash or property (other than as a result of a stock split, combination or reclassification of shares of Common Stock covered by Section 9(a)), or (v) the Company, directly or indirectly, in one or more related transactions consummates a stock or share purchase agreement or other business combination (including, without limitation, a reorganization, recapitalization, spin-off or scheme of arrangement) with another Person or group of Persons whereby such other Person or group acquires 50% or more of the outstanding shares of Common Stock (not including any shares of Common Stock held by the other Person or other Persons making or party to, or associated or affiliated with the other Persons making or party to, such stock or share purchase agreement or other business combination) or 50% or more of the voting power of the common equity of the Company, and such event(s) do not constitute a Deemed Liquidation Event (each a “</w:t>
      </w:r>
      <w:r>
        <w:rPr>
          <w:rFonts w:ascii="Times New Roman" w:cs="Times New Roman" w:eastAsia="Times New Roman" w:hAnsi="Times New Roman"/>
          <w:sz w:val="17"/>
          <w:szCs w:val="17"/>
          <w:b w:val="1"/>
          <w:bCs w:val="1"/>
          <w:color w:val="auto"/>
        </w:rPr>
        <w:t>Fundamental Transaction</w:t>
      </w:r>
      <w:r>
        <w:rPr>
          <w:rFonts w:ascii="Times New Roman" w:cs="Times New Roman" w:eastAsia="Times New Roman" w:hAnsi="Times New Roman"/>
          <w:sz w:val="17"/>
          <w:szCs w:val="17"/>
          <w:color w:val="auto"/>
        </w:rPr>
        <w:t>”), then, upon any subsequent exercise of this Warrant, the Holder shall have the right to receive, for each Warrant Share that would have been issuable upon such exercise immediately prior to the occurrence of such Fundamental Transaction (without regard to any limitation in Section 11 on</w:t>
      </w:r>
    </w:p>
    <w:p>
      <w:pPr>
        <w:sectPr>
          <w:pgSz w:w="11900" w:h="16838" w:orient="portrait"/>
          <w:cols w:equalWidth="0" w:num="1">
            <w:col w:w="11220"/>
          </w:cols>
          <w:pgMar w:left="320" w:top="1417" w:right="359" w:bottom="1440" w:gutter="0" w:footer="0" w:header="0"/>
        </w:sectPr>
      </w:pPr>
    </w:p>
    <w:bookmarkStart w:id="11" w:name="page12"/>
    <w:bookmarkEnd w:id="11"/>
    <w:p>
      <w:pPr>
        <w:ind w:right="20"/>
        <w:spacing w:after="0" w:line="261" w:lineRule="auto"/>
        <w:rPr>
          <w:sz w:val="20"/>
          <w:szCs w:val="20"/>
          <w:color w:val="auto"/>
        </w:rPr>
      </w:pPr>
      <w:r>
        <w:rPr>
          <w:rFonts w:ascii="Times New Roman" w:cs="Times New Roman" w:eastAsia="Times New Roman" w:hAnsi="Times New Roman"/>
          <w:sz w:val="18"/>
          <w:szCs w:val="18"/>
          <w:color w:val="auto"/>
        </w:rPr>
        <w:t>the exercise of this Warrant), the number of shares of capital stock of the successor or acquiring corporation or of the Company, if it is the surviving corporation, and any additional consideration (the “</w:t>
      </w:r>
      <w:r>
        <w:rPr>
          <w:rFonts w:ascii="Times New Roman" w:cs="Times New Roman" w:eastAsia="Times New Roman" w:hAnsi="Times New Roman"/>
          <w:sz w:val="18"/>
          <w:szCs w:val="18"/>
          <w:b w:val="1"/>
          <w:bCs w:val="1"/>
          <w:color w:val="auto"/>
        </w:rPr>
        <w:t>Alternate Consideration</w:t>
      </w:r>
      <w:r>
        <w:rPr>
          <w:rFonts w:ascii="Times New Roman" w:cs="Times New Roman" w:eastAsia="Times New Roman" w:hAnsi="Times New Roman"/>
          <w:sz w:val="18"/>
          <w:szCs w:val="18"/>
          <w:color w:val="auto"/>
        </w:rPr>
        <w:t>”) receivable as a result of such Fundamental Transaction by a holder of the number of shares of Common Stock for which this Warrant is exercisable immediately prior to such Fundamental Transaction (without regard to any limitation in Section 11 on the exercise of this Warrant).</w:t>
      </w:r>
    </w:p>
    <w:p>
      <w:pPr>
        <w:spacing w:after="0" w:line="207" w:lineRule="exact"/>
        <w:rPr>
          <w:sz w:val="20"/>
          <w:szCs w:val="20"/>
          <w:color w:val="auto"/>
        </w:rPr>
      </w:pPr>
    </w:p>
    <w:p>
      <w:pPr>
        <w:ind w:right="40" w:firstLine="643"/>
        <w:spacing w:after="0" w:line="256" w:lineRule="auto"/>
        <w:tabs>
          <w:tab w:leader="none" w:pos="913"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any such exercise, the determination of the Exercise Price shall be appropriately adjusted to apply to such Alternate Consideration based on the amount of Alternate Consideration issuable in respect of one share of Common Stock in such Fundamental Transaction, and the Company shall apportion the Exercise Price among the Alternate Consideration in a reasonable manner reflecting the relative value of any different components of the Alternate Consideration. If holders of Common Stock are given any choice as to the securities, cash or property to be received in a Fundamental Transaction, then the Holder shall be given the same choice as to the Alternate Consideration it receives upon any exercise of this Warrant following such Fundamental Transaction.</w:t>
      </w:r>
    </w:p>
    <w:p>
      <w:pPr>
        <w:spacing w:after="0" w:line="214" w:lineRule="exact"/>
        <w:rPr>
          <w:rFonts w:ascii="Times New Roman" w:cs="Times New Roman" w:eastAsia="Times New Roman" w:hAnsi="Times New Roman"/>
          <w:sz w:val="18"/>
          <w:szCs w:val="18"/>
          <w:color w:val="auto"/>
        </w:rPr>
      </w:pPr>
    </w:p>
    <w:p>
      <w:pPr>
        <w:ind w:left="960" w:hanging="317"/>
        <w:spacing w:after="0"/>
        <w:tabs>
          <w:tab w:leader="none" w:pos="9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cause any successor entity in a Fundamental Transaction in which the Company is not the survivor (the</w:t>
      </w:r>
    </w:p>
    <w:p>
      <w:pPr>
        <w:spacing w:after="0" w:line="27"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Successor Entity</w:t>
      </w:r>
      <w:r>
        <w:rPr>
          <w:rFonts w:ascii="Times New Roman" w:cs="Times New Roman" w:eastAsia="Times New Roman" w:hAnsi="Times New Roman"/>
          <w:sz w:val="18"/>
          <w:szCs w:val="18"/>
          <w:color w:val="auto"/>
        </w:rPr>
        <w:t>”) to assume in writing all of the obligations of the Company under this Warrant and the other Transaction Documents in accordance with the provisions of this Section 9(d) pursuant to written agreements in form and substance reasonably satisfactory to the Holder and approved by the Holder (without unreasonable delay) prior to such Fundamental Transaction and shall, at the option of the Holder, deliver to the Holder in exchange for this Warrant a security of the Successor Entity evidenced by a written instrument substantially similar in form and substance to this Warrant which is exercisable for a corresponding number of shares of capital stock of such Successor Entity (or its parent entity) equivalent to the shares of Common Stock acquirable and receivable upon exercise of this Warrant (without regard to any limitations on the exercise of this Warrant) prior to such Fundamental Transaction, and with an exercise price which applies the Exercise Price hereunder to such shares of capital stock (but taking into account the relative value of the shares of Common Stock pursuant to such Fundamental Transaction and the value of such shares of capital stock, such number of shares of capital stock and such exercise price being for the purpose of protecting the economic value of this Warrant immediately prior to the consummation of such Fundamental Transaction), and which is reasonably satisfactory in form and substance to the Holder.</w:t>
      </w:r>
    </w:p>
    <w:p>
      <w:pPr>
        <w:spacing w:after="0" w:line="219" w:lineRule="exact"/>
        <w:rPr>
          <w:sz w:val="20"/>
          <w:szCs w:val="20"/>
          <w:color w:val="auto"/>
        </w:rPr>
      </w:pPr>
    </w:p>
    <w:p>
      <w:pPr>
        <w:ind w:left="-580" w:firstLine="656"/>
        <w:spacing w:after="0" w:line="254" w:lineRule="auto"/>
        <w:tabs>
          <w:tab w:leader="none" w:pos="312"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 Upon Issuance of Common Stock</w:t>
      </w:r>
      <w:r>
        <w:rPr>
          <w:rFonts w:ascii="Times New Roman" w:cs="Times New Roman" w:eastAsia="Times New Roman" w:hAnsi="Times New Roman"/>
          <w:sz w:val="18"/>
          <w:szCs w:val="18"/>
          <w:color w:val="auto"/>
        </w:rPr>
        <w:t>. If and whenever on or after the Original Issue Date until the date that is eighteen (18) months after the Original Issue Date, the Company issues or sells, or in accordance with this Section 9(e) is deemed to have issued or sold, any shares of Common Stock (including the issuance or sale of shares of Common Stock owned or held by or for the account of the Company, but excluding shares of Common Stock issued or sold, or deemed to have been issued or sold, by the Company in connection with any Exempt Issuance) for a consideration per share (the “</w:t>
      </w:r>
      <w:r>
        <w:rPr>
          <w:rFonts w:ascii="Times New Roman" w:cs="Times New Roman" w:eastAsia="Times New Roman" w:hAnsi="Times New Roman"/>
          <w:sz w:val="18"/>
          <w:szCs w:val="18"/>
          <w:b w:val="1"/>
          <w:bCs w:val="1"/>
          <w:color w:val="auto"/>
        </w:rPr>
        <w:t>New Issuance Price</w:t>
      </w:r>
      <w:r>
        <w:rPr>
          <w:rFonts w:ascii="Times New Roman" w:cs="Times New Roman" w:eastAsia="Times New Roman" w:hAnsi="Times New Roman"/>
          <w:sz w:val="18"/>
          <w:szCs w:val="18"/>
          <w:color w:val="auto"/>
        </w:rPr>
        <w:t>”) less than the Exercise Price then in effect (each such issue, sale or deemed issuance or sale, a “</w:t>
      </w:r>
      <w:r>
        <w:rPr>
          <w:rFonts w:ascii="Times New Roman" w:cs="Times New Roman" w:eastAsia="Times New Roman" w:hAnsi="Times New Roman"/>
          <w:sz w:val="18"/>
          <w:szCs w:val="18"/>
          <w:b w:val="1"/>
          <w:bCs w:val="1"/>
          <w:color w:val="auto"/>
        </w:rPr>
        <w:t>Dilutive Issuance</w:t>
      </w:r>
      <w:r>
        <w:rPr>
          <w:rFonts w:ascii="Times New Roman" w:cs="Times New Roman" w:eastAsia="Times New Roman" w:hAnsi="Times New Roman"/>
          <w:sz w:val="18"/>
          <w:szCs w:val="18"/>
          <w:color w:val="auto"/>
        </w:rPr>
        <w:t>”), where the aggregate amount of consideration received by the Company, together with all prior issuances and sales conducted for the purpose of raising capital by the Company on or after the Original Issue Date that were excluded from this Section 9(e) by this clause, exceeds $500,000, then, immediately after such Dilutive Issuance, the Exercise Price then in effect shall be reduced to an amount equal to the New Issuance Price. For purposes of determining the adjusted Exercise Price and the New Issuance Price under this Section 9(e), the following shall be applicable:</w:t>
      </w:r>
    </w:p>
    <w:p>
      <w:pPr>
        <w:spacing w:after="0" w:line="215" w:lineRule="exact"/>
        <w:rPr>
          <w:rFonts w:ascii="Times New Roman" w:cs="Times New Roman" w:eastAsia="Times New Roman" w:hAnsi="Times New Roman"/>
          <w:sz w:val="18"/>
          <w:szCs w:val="18"/>
          <w:color w:val="auto"/>
        </w:rPr>
      </w:pPr>
    </w:p>
    <w:p>
      <w:pPr>
        <w:ind w:left="80" w:right="320" w:firstLine="644"/>
        <w:spacing w:after="0" w:line="261" w:lineRule="auto"/>
        <w:tabs>
          <w:tab w:leader="none" w:pos="943"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Options and Convertible Securities</w:t>
      </w:r>
      <w:r>
        <w:rPr>
          <w:rFonts w:ascii="Times New Roman" w:cs="Times New Roman" w:eastAsia="Times New Roman" w:hAnsi="Times New Roman"/>
          <w:sz w:val="18"/>
          <w:szCs w:val="18"/>
          <w:color w:val="auto"/>
        </w:rPr>
        <w:t>. The consideration per share received by the Company for Common Stock issued or deemed to have been issued pursuant to Section 9(e)(ii), relating to Options and Convertible Securities, shall be determined by dividing:</w:t>
      </w:r>
    </w:p>
    <w:p>
      <w:pPr>
        <w:ind w:left="720" w:right="20" w:firstLine="18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 total amount, if any, received or receivable by the Company as consideration for the issue of such Options or Convertible Securities, plus the minimum aggregate amount of additional consideration (as set forth in the instruments relating thereto, without regard to any provision contained therein for a subsequent adjustment of such consideration) payable to the Company upon the exercise of such Options or the conversion or exchange of such Convertible</w:t>
      </w:r>
    </w:p>
    <w:p>
      <w:pPr>
        <w:sectPr>
          <w:pgSz w:w="11900" w:h="16838" w:orient="portrait"/>
          <w:cols w:equalWidth="0" w:num="1">
            <w:col w:w="10660"/>
          </w:cols>
          <w:pgMar w:left="900" w:top="1417" w:right="339" w:bottom="1440" w:gutter="0" w:footer="0" w:header="0"/>
        </w:sectPr>
      </w:pPr>
    </w:p>
    <w:bookmarkStart w:id="12" w:name="page13"/>
    <w:bookmarkEnd w:id="12"/>
    <w:p>
      <w:pPr>
        <w:ind w:left="180" w:right="20"/>
        <w:spacing w:after="0" w:line="282" w:lineRule="auto"/>
        <w:rPr>
          <w:sz w:val="20"/>
          <w:szCs w:val="20"/>
          <w:color w:val="auto"/>
        </w:rPr>
      </w:pPr>
      <w:r>
        <w:rPr>
          <w:rFonts w:ascii="Times New Roman" w:cs="Times New Roman" w:eastAsia="Times New Roman" w:hAnsi="Times New Roman"/>
          <w:sz w:val="18"/>
          <w:szCs w:val="18"/>
          <w:color w:val="auto"/>
        </w:rPr>
        <w:t>Securities, or in the case of Options for Convertible Securities, the exercise of such Options for Convertible Securities and the conversion or exchange of such Convertible Securities, by</w:t>
      </w:r>
    </w:p>
    <w:p>
      <w:pPr>
        <w:spacing w:after="0" w:line="189" w:lineRule="exact"/>
        <w:rPr>
          <w:sz w:val="20"/>
          <w:szCs w:val="20"/>
          <w:color w:val="auto"/>
        </w:rPr>
      </w:pPr>
    </w:p>
    <w:p>
      <w:pPr>
        <w:jc w:val="both"/>
        <w:ind w:left="180" w:firstLine="184"/>
        <w:spacing w:after="0" w:line="266" w:lineRule="auto"/>
        <w:tabs>
          <w:tab w:leader="none" w:pos="675"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maximum number of shares of Common Stock (as set forth in the instruments relating thereto, without regard to any provision contained therein for a subsequent adjustment of such number) deemed to be issued pursuant to Section 9(e)(ii) upon the issuance of such Options or Convertible Securities.</w:t>
      </w:r>
    </w:p>
    <w:p>
      <w:pPr>
        <w:spacing w:after="0" w:line="202" w:lineRule="exact"/>
        <w:rPr>
          <w:rFonts w:ascii="Times New Roman" w:cs="Times New Roman" w:eastAsia="Times New Roman" w:hAnsi="Times New Roman"/>
          <w:sz w:val="18"/>
          <w:szCs w:val="18"/>
          <w:color w:val="auto"/>
        </w:rPr>
      </w:pPr>
    </w:p>
    <w:p>
      <w:pPr>
        <w:ind w:left="440" w:hanging="256"/>
        <w:spacing w:after="0"/>
        <w:tabs>
          <w:tab w:leader="none" w:pos="4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Deemed Issuance of Options and Convertible Securities</w:t>
      </w:r>
      <w:r>
        <w:rPr>
          <w:rFonts w:ascii="Times New Roman" w:cs="Times New Roman" w:eastAsia="Times New Roman" w:hAnsi="Times New Roman"/>
          <w:sz w:val="18"/>
          <w:szCs w:val="18"/>
          <w:color w:val="auto"/>
        </w:rPr>
        <w:t>.</w:t>
      </w:r>
    </w:p>
    <w:p>
      <w:pPr>
        <w:spacing w:after="0" w:line="252" w:lineRule="exact"/>
        <w:rPr>
          <w:rFonts w:ascii="Times New Roman" w:cs="Times New Roman" w:eastAsia="Times New Roman" w:hAnsi="Times New Roman"/>
          <w:sz w:val="18"/>
          <w:szCs w:val="18"/>
          <w:color w:val="auto"/>
        </w:rPr>
      </w:pPr>
    </w:p>
    <w:p>
      <w:pPr>
        <w:ind w:left="180" w:right="20" w:firstLine="184"/>
        <w:spacing w:after="0" w:line="255" w:lineRule="auto"/>
        <w:tabs>
          <w:tab w:leader="none" w:pos="665"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at any time or from time to time shall issue any Options or Convertible Securities or shall fix a record date for the determination of holders of any class of securities entitled to receive any such Options or Convertible Securities, then the maximum number of shares of Common Stock (as set forth in the instrument relating thereto, assuming the satisfaction of any conditions to exercisability, convertibility or exchangeability but without regard to any provision contained therein for a subsequent adjustment of such number) issuable upon the exercise of such Options or, in the case of Convertible Securities and Options therefor, the conversion or exchange of such Convertible Securities, shall be deemed to be outstanding and to have been issued as of the time of such issue or, in case such a record date shall have been fixed, as of the close of business on such record date.</w:t>
      </w:r>
    </w:p>
    <w:p>
      <w:pPr>
        <w:spacing w:after="0" w:line="215" w:lineRule="exact"/>
        <w:rPr>
          <w:rFonts w:ascii="Times New Roman" w:cs="Times New Roman" w:eastAsia="Times New Roman" w:hAnsi="Times New Roman"/>
          <w:sz w:val="18"/>
          <w:szCs w:val="18"/>
          <w:color w:val="auto"/>
        </w:rPr>
      </w:pPr>
    </w:p>
    <w:p>
      <w:pPr>
        <w:ind w:left="180" w:right="20" w:firstLine="184"/>
        <w:spacing w:after="0" w:line="253" w:lineRule="auto"/>
        <w:tabs>
          <w:tab w:leader="none" w:pos="675"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purchase or exercise price provided for in any Options, the additional consideration, if any, payable upon the issue, conversion, exercise or exchange of any Convertible Securities, or the rate at which any Convertible Securities are convertible into or exercisable or exchangeable for Common Stock increases or decreases at any time (other than (x) proportional changes in conversion or exercise prices, as applicable, in connection with an event referred to in Section 9(a) above and (y) automatic adjustments to such terms pursuant to anti-dilution or similar provisions of such Option or Convertible Security which are not more favorable to the holder thereof than the anti-dilution and similar provisions set forth herein), the Exercise Price in effect at the time of such increase or decrease shall be adjusted to the Exercise Price which would have been in effect at such time had such Options or Convertible Securities provided for such increased or decreased purchase price, additional consideration or increased or decreased conversion rate (as the case may be) at the time initially granted, issued or sold. For purposes of this Section 9(e), if the terms of any Option or Convertible Security that was outstanding as of the Original Issue Date are increased or decreased in the manner described in the immediately preceding sentence, then such Option or Convertible Security and the shares of Common Stock deemed issuable upon exercise, conversion or exchange thereof shall be deemed to have been issued as of the date of such increase or decrease. No adjustment pursuant to this Section 9(e)(ii) shall be made if such adjustment would result in an increase of the Exercise Price then in effect.</w:t>
      </w:r>
    </w:p>
    <w:p>
      <w:pPr>
        <w:spacing w:after="0" w:line="214" w:lineRule="exact"/>
        <w:rPr>
          <w:rFonts w:ascii="Times New Roman" w:cs="Times New Roman" w:eastAsia="Times New Roman" w:hAnsi="Times New Roman"/>
          <w:sz w:val="18"/>
          <w:szCs w:val="18"/>
          <w:color w:val="auto"/>
        </w:rPr>
      </w:pPr>
    </w:p>
    <w:p>
      <w:pPr>
        <w:ind w:left="500" w:hanging="316"/>
        <w:spacing w:after="0"/>
        <w:tabs>
          <w:tab w:leader="none" w:pos="5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Calculation of Consideration Received</w:t>
      </w:r>
      <w:r>
        <w:rPr>
          <w:rFonts w:ascii="Times New Roman" w:cs="Times New Roman" w:eastAsia="Times New Roman" w:hAnsi="Times New Roman"/>
          <w:sz w:val="18"/>
          <w:szCs w:val="18"/>
          <w:color w:val="auto"/>
        </w:rPr>
        <w:t>.</w:t>
      </w:r>
    </w:p>
    <w:p>
      <w:pPr>
        <w:spacing w:after="0" w:line="252" w:lineRule="exact"/>
        <w:rPr>
          <w:rFonts w:ascii="Times New Roman" w:cs="Times New Roman" w:eastAsia="Times New Roman" w:hAnsi="Times New Roman"/>
          <w:sz w:val="18"/>
          <w:szCs w:val="18"/>
          <w:color w:val="auto"/>
        </w:rPr>
      </w:pPr>
    </w:p>
    <w:p>
      <w:pPr>
        <w:ind w:left="260" w:right="80" w:firstLine="180"/>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In case one or more Option is issued in connection with the issue or sale of other securities of the Company, together comprising one integrated transaction, (x) each such Option will be deemed to have been issued for the Option Value of such Option and (y) the other securities issued or sold in such integrated transaction shall be deemed to have been issued or sold for the difference of (I) the aggregate consideration received by the Company less any consideration paid or payable by the Company pursuant to the terms of such other securities of the Company, less (II) the Option Value of each such Option;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no share of Common Stock shall be deemed to have been issued for less than a fraction of the aggregate consideration received (excluding the minimum aggregate amount of additional consideration (as set forth in the instruments relating thereto, without regard to any provision contained therein for a subsequent adjustment of such consideration) payable to the Company upon the exercise of any such Options, or in the case of Options for Convertible Securities, the exercise of such Options</w:t>
      </w:r>
    </w:p>
    <w:p>
      <w:pPr>
        <w:sectPr>
          <w:pgSz w:w="11900" w:h="16838" w:orient="portrait"/>
          <w:cols w:equalWidth="0" w:num="1">
            <w:col w:w="10100"/>
          </w:cols>
          <w:pgMar w:left="1440" w:top="1417" w:right="359" w:bottom="1440" w:gutter="0" w:footer="0" w:header="0"/>
        </w:sectPr>
      </w:pPr>
    </w:p>
    <w:bookmarkStart w:id="13" w:name="page14"/>
    <w:bookmarkEnd w:id="13"/>
    <w:p>
      <w:pPr>
        <w:jc w:val="both"/>
        <w:ind w:left="400" w:right="420"/>
        <w:spacing w:after="0" w:line="266" w:lineRule="auto"/>
        <w:rPr>
          <w:sz w:val="20"/>
          <w:szCs w:val="20"/>
          <w:color w:val="auto"/>
        </w:rPr>
      </w:pPr>
      <w:r>
        <w:rPr>
          <w:rFonts w:ascii="Times New Roman" w:cs="Times New Roman" w:eastAsia="Times New Roman" w:hAnsi="Times New Roman"/>
          <w:sz w:val="18"/>
          <w:szCs w:val="18"/>
          <w:color w:val="auto"/>
        </w:rPr>
        <w:t>for Convertible Securities and the conversion or exchange of such Convertible Securities) equal to (A) one divided by (B) the total number of shares of Common Stock issued or issuable in the integrated transaction (including the number of shares underlying any Options and Convertible Securities).</w:t>
      </w:r>
    </w:p>
    <w:p>
      <w:pPr>
        <w:spacing w:after="0" w:line="203" w:lineRule="exact"/>
        <w:rPr>
          <w:sz w:val="20"/>
          <w:szCs w:val="20"/>
          <w:color w:val="auto"/>
        </w:rPr>
      </w:pPr>
    </w:p>
    <w:p>
      <w:pPr>
        <w:ind w:left="400" w:firstLine="185"/>
        <w:spacing w:after="0" w:line="252" w:lineRule="auto"/>
        <w:tabs>
          <w:tab w:leader="none" w:pos="895"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shares of Common Stock, Options or Convertible Securities are issued or sold or deemed to have been issued or sold for cash, the consideration other than cash received therefor will be deemed to be the net amount received by the Company therefor. If any shares of Common Stock, Options or Convertible Securities are issued or sold for a consideration other than cash, the amount of such consideration received by the Company will be the fair value of such consideration, except where such consideration consists of publicly traded securities, in which case the amount of consideration received by the Company will be the closing sale price of such publicly traded securities on the date of receipt. If any shares of Common Stock, Options or Convertible Securities are issued to the owners of the non-surviving entity in connection with any merger in which the Company is the surviving entity, the amount of consideration therefor will be deemed to be the fair value of such portion of the net assets and business of the non-surviving entity as is attributable to such shares of Common Stock, Options or Convertible Securities, as the case may be. The fair value of any consideration other than cash or publicly traded securities will be determined jointly by the Company and the Holder. If such parties are unable to reach agreement within ten (10) days after the occurrence of an event requiring valuation (the “</w:t>
      </w:r>
      <w:r>
        <w:rPr>
          <w:rFonts w:ascii="Times New Roman" w:cs="Times New Roman" w:eastAsia="Times New Roman" w:hAnsi="Times New Roman"/>
          <w:sz w:val="18"/>
          <w:szCs w:val="18"/>
          <w:b w:val="1"/>
          <w:bCs w:val="1"/>
          <w:color w:val="auto"/>
        </w:rPr>
        <w:t>Valuation Event</w:t>
      </w:r>
      <w:r>
        <w:rPr>
          <w:rFonts w:ascii="Times New Roman" w:cs="Times New Roman" w:eastAsia="Times New Roman" w:hAnsi="Times New Roman"/>
          <w:sz w:val="18"/>
          <w:szCs w:val="18"/>
          <w:color w:val="auto"/>
        </w:rPr>
        <w:t>”), the fair value of such consideration will be determined within five (5) Business Days after the tenth (10th) day following the Valuation Event by an independent, reputable appraiser jointly selected by the Company and Holder. The determination of such appraiser shall be final and binding upon all parties absent manifest error and the fees and expenses of such appraiser shall be borne by the Company.</w:t>
      </w:r>
    </w:p>
    <w:p>
      <w:pPr>
        <w:spacing w:after="0" w:line="224" w:lineRule="exact"/>
        <w:rPr>
          <w:rFonts w:ascii="Times New Roman" w:cs="Times New Roman" w:eastAsia="Times New Roman" w:hAnsi="Times New Roman"/>
          <w:sz w:val="18"/>
          <w:szCs w:val="18"/>
          <w:color w:val="auto"/>
        </w:rPr>
      </w:pPr>
    </w:p>
    <w:p>
      <w:pPr>
        <w:ind w:left="-320" w:right="60" w:firstLine="644"/>
        <w:spacing w:after="0" w:line="258" w:lineRule="auto"/>
        <w:tabs>
          <w:tab w:leader="none" w:pos="76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Record Date</w:t>
      </w:r>
      <w:r>
        <w:rPr>
          <w:rFonts w:ascii="Times New Roman" w:cs="Times New Roman" w:eastAsia="Times New Roman" w:hAnsi="Times New Roman"/>
          <w:sz w:val="18"/>
          <w:szCs w:val="18"/>
          <w:color w:val="auto"/>
        </w:rPr>
        <w:t>. If the Company takes a record of the holders of shares of Common Stock for the purpose of entitling them (a) to receive a dividend or other distribution payable in shares of Common Stock, Options or in Convertible Securities or (b) to subscribe for or purchase shares of Common Stock, Options or Convertible Securities, then such record date will be deemed to be the date of the issuance or sale of the shares of Common Stock deemed to have been issued or sold upon the declaration of such dividend or the making of such other distribution or the date of the granting of such right of subscription or purchase, as the case may be.</w:t>
      </w:r>
    </w:p>
    <w:p>
      <w:pPr>
        <w:spacing w:after="0" w:line="210" w:lineRule="exact"/>
        <w:rPr>
          <w:sz w:val="20"/>
          <w:szCs w:val="20"/>
          <w:color w:val="auto"/>
        </w:rPr>
      </w:pPr>
    </w:p>
    <w:p>
      <w:pPr>
        <w:ind w:left="-320" w:right="80" w:firstLine="644"/>
        <w:spacing w:after="0" w:line="261" w:lineRule="auto"/>
        <w:tabs>
          <w:tab w:leader="none" w:pos="633" w:val="left"/>
        </w:tabs>
        <w:numPr>
          <w:ilvl w:val="2"/>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Expiration or Termination of Options or Convertible Securities</w:t>
      </w:r>
      <w:r>
        <w:rPr>
          <w:rFonts w:ascii="Times New Roman" w:cs="Times New Roman" w:eastAsia="Times New Roman" w:hAnsi="Times New Roman"/>
          <w:sz w:val="18"/>
          <w:szCs w:val="18"/>
          <w:color w:val="auto"/>
        </w:rPr>
        <w:t>. Upon the expiration or termination of any unexercised Option or unconverted or unexchanged Convertible Securities (or portion thereof) which resulted (either upon its original issuance or upon a revision of its terms) in an adjustment to the Exercise Price pursuant to the terms of Section 9(e), the Exercise Price shall be readjusted to such Exercise Price as would have obtained had such Option or Convertible Securities (or portion thereof) never been issued.</w:t>
      </w:r>
    </w:p>
    <w:p>
      <w:pPr>
        <w:spacing w:after="0" w:line="179" w:lineRule="exact"/>
        <w:rPr>
          <w:rFonts w:ascii="Times New Roman" w:cs="Times New Roman" w:eastAsia="Times New Roman" w:hAnsi="Times New Roman"/>
          <w:sz w:val="18"/>
          <w:szCs w:val="18"/>
          <w:color w:val="auto"/>
        </w:rPr>
      </w:pPr>
    </w:p>
    <w:p>
      <w:pPr>
        <w:ind w:left="-980" w:firstLine="980"/>
        <w:spacing w:after="0" w:line="261" w:lineRule="auto"/>
        <w:tabs>
          <w:tab w:leader="none" w:pos="217"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Number of Warrant Shares</w:t>
      </w:r>
      <w:r>
        <w:rPr>
          <w:rFonts w:ascii="Times New Roman" w:cs="Times New Roman" w:eastAsia="Times New Roman" w:hAnsi="Times New Roman"/>
          <w:sz w:val="18"/>
          <w:szCs w:val="18"/>
          <w:color w:val="auto"/>
        </w:rPr>
        <w:t>. Simultaneously with any adjustment to the Exercise Price pursuant to this Section 9, the number of Warrant Shares that may be purchased upon exercise of this Warrant shall be increased or decreased proportionately so that after such adjustment the aggregate Exercise Price payable hereunder for the adjusted number of Warrant Shares shall be the same as the aggregate Exercise Price in effect immediately prior to such adjustment (without regard to any limitations on exercise contained herein).</w:t>
      </w:r>
    </w:p>
    <w:p>
      <w:pPr>
        <w:spacing w:after="0" w:line="179" w:lineRule="exact"/>
        <w:rPr>
          <w:rFonts w:ascii="Times New Roman" w:cs="Times New Roman" w:eastAsia="Times New Roman" w:hAnsi="Times New Roman"/>
          <w:sz w:val="18"/>
          <w:szCs w:val="18"/>
          <w:color w:val="auto"/>
        </w:rPr>
      </w:pPr>
    </w:p>
    <w:p>
      <w:pPr>
        <w:ind w:left="280" w:hanging="260"/>
        <w:spacing w:after="0"/>
        <w:tabs>
          <w:tab w:leader="none" w:pos="280" w:val="left"/>
        </w:tabs>
        <w:numPr>
          <w:ilvl w:val="1"/>
          <w:numId w:val="18"/>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Calculations</w:t>
      </w:r>
      <w:r>
        <w:rPr>
          <w:rFonts w:ascii="Times New Roman" w:cs="Times New Roman" w:eastAsia="Times New Roman" w:hAnsi="Times New Roman"/>
          <w:sz w:val="18"/>
          <w:szCs w:val="18"/>
          <w:color w:val="auto"/>
        </w:rPr>
        <w:t xml:space="preserve">. All calculations under this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shall be made to the nearest one-tenth of one cent or the nearest share, as applicable.</w:t>
      </w:r>
    </w:p>
    <w:p>
      <w:pPr>
        <w:spacing w:after="0" w:line="225" w:lineRule="exact"/>
        <w:rPr>
          <w:rFonts w:ascii="Times New Roman" w:cs="Times New Roman" w:eastAsia="Times New Roman" w:hAnsi="Times New Roman"/>
          <w:sz w:val="18"/>
          <w:szCs w:val="18"/>
          <w:u w:val="single" w:color="auto"/>
          <w:color w:val="auto"/>
        </w:rPr>
      </w:pPr>
    </w:p>
    <w:p>
      <w:pPr>
        <w:jc w:val="both"/>
        <w:ind w:left="-980" w:right="100" w:firstLine="1000"/>
        <w:spacing w:after="0" w:line="266" w:lineRule="auto"/>
        <w:tabs>
          <w:tab w:leader="none" w:pos="266" w:val="left"/>
        </w:tabs>
        <w:numPr>
          <w:ilvl w:val="1"/>
          <w:numId w:val="18"/>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Notice of Adjustments</w:t>
      </w:r>
      <w:r>
        <w:rPr>
          <w:rFonts w:ascii="Times New Roman" w:cs="Times New Roman" w:eastAsia="Times New Roman" w:hAnsi="Times New Roman"/>
          <w:sz w:val="18"/>
          <w:szCs w:val="18"/>
          <w:color w:val="auto"/>
        </w:rPr>
        <w:t>. Whenever the Exercise Price is adjusted pursuant to any provision of this Section 9, the Company shall promptly deliver to the Holder by email a notice setting forth the Exercise Price after such adjustment and any resulting adjustment to the number of Warrant Shares and setting forth a brief statement of the facts requiring such adjustment.</w:t>
      </w:r>
    </w:p>
    <w:p>
      <w:pPr>
        <w:sectPr>
          <w:pgSz w:w="11900" w:h="16838" w:orient="portrait"/>
          <w:cols w:equalWidth="0" w:num="1">
            <w:col w:w="10260"/>
          </w:cols>
          <w:pgMar w:left="1300" w:top="1417" w:right="339" w:bottom="1440" w:gutter="0" w:footer="0" w:header="0"/>
        </w:sectPr>
      </w:pPr>
    </w:p>
    <w:bookmarkStart w:id="14" w:name="page15"/>
    <w:bookmarkEnd w:id="14"/>
    <w:p>
      <w:pPr>
        <w:spacing w:after="0" w:line="194" w:lineRule="exact"/>
        <w:rPr>
          <w:sz w:val="20"/>
          <w:szCs w:val="20"/>
          <w:color w:val="auto"/>
        </w:rPr>
      </w:pPr>
    </w:p>
    <w:p>
      <w:pPr>
        <w:ind w:firstLine="1000"/>
        <w:spacing w:after="0" w:line="267" w:lineRule="auto"/>
        <w:tabs>
          <w:tab w:leader="none" w:pos="1206" w:val="left"/>
        </w:tabs>
        <w:numPr>
          <w:ilvl w:val="2"/>
          <w:numId w:val="19"/>
        </w:numPr>
        <w:rPr>
          <w:rFonts w:ascii="Times New Roman" w:cs="Times New Roman" w:eastAsia="Times New Roman" w:hAnsi="Times New Roman"/>
          <w:sz w:val="17"/>
          <w:szCs w:val="17"/>
          <w:u w:val="single" w:color="auto"/>
          <w:color w:val="auto"/>
        </w:rPr>
      </w:pPr>
      <w:r>
        <w:rPr>
          <w:rFonts w:ascii="Times New Roman" w:cs="Times New Roman" w:eastAsia="Times New Roman" w:hAnsi="Times New Roman"/>
          <w:sz w:val="17"/>
          <w:szCs w:val="17"/>
          <w:u w:val="single" w:color="auto"/>
          <w:color w:val="auto"/>
        </w:rPr>
        <w:t>Notice of Exercise by Holder</w:t>
      </w:r>
      <w:r>
        <w:rPr>
          <w:rFonts w:ascii="Times New Roman" w:cs="Times New Roman" w:eastAsia="Times New Roman" w:hAnsi="Times New Roman"/>
          <w:sz w:val="17"/>
          <w:szCs w:val="17"/>
          <w:color w:val="auto"/>
        </w:rPr>
        <w:t>. If (A) the Company shall declare a dividend (or any other distribution in whatever form) on the Common Stock, (B) the Company shall declare a redemption of the Common Stock, (C) the Company shall authorize the granting to all holders of the Common Stock of rights or warrants to subscribe for or purchase any shares of capital stock of any class or of any rights, (D) the approval of any stockholders of the Company shall be required in connection with any reclassification of the Common Stock, any consolidation or merger to which the Company is a party, any sale or transfer of all or substantially all of its assets, or any compulsory share exchange whereby the Common Stock is converted into other securities, cash or property, or (E) the Company shall authorize the voluntary or involuntary dissolution, liquidation or winding up of the affairs of the Company, then, in each case, the Company shall cause to be delivered by facsimile or email to the Holder at its last facsimile number or email address as it shall appear upon the Warrant Register of the Company, at least 20 calendar days prior to the applicable record or effective date hereinafter specified, a notice stating (x) the date on which a record is to be taken for the purpose of such dividend, distribution, redemption, rights or warrants, or if a record is not to be taken, the date as of which the holders of the Common Stock of record to be entitled to such dividend, distributions, redemption, rights or warrants are to be determined or</w:t>
      </w:r>
    </w:p>
    <w:p>
      <w:pPr>
        <w:spacing w:after="0" w:line="3" w:lineRule="exact"/>
        <w:rPr>
          <w:rFonts w:ascii="Times New Roman" w:cs="Times New Roman" w:eastAsia="Times New Roman" w:hAnsi="Times New Roman"/>
          <w:sz w:val="17"/>
          <w:szCs w:val="17"/>
          <w:u w:val="single" w:color="auto"/>
          <w:color w:val="auto"/>
        </w:rPr>
      </w:pPr>
    </w:p>
    <w:p>
      <w:pPr>
        <w:ind w:firstLine="8"/>
        <w:spacing w:after="0" w:line="251" w:lineRule="auto"/>
        <w:tabs>
          <w:tab w:leader="none" w:pos="2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such reclassification, consolidation, merger, sale, transfer or share exchange is expected to become effective or close, and the date as of which it is expected that holders of the Common Stock of record shall be entitled to exchange their shares of the Common Stock for securities, cash or other property deliverable upon such reclassification, consolidation, merger, sale, transfer or share exchange; provided, that, notwithstanding the foregoing, any notice delivery requirement hereunder shall also be deemed satisfied by filing or furnishing such communication with the Commission via the EDGAR system; provided, further, that the failure to deliver such notice or any defect therein or in the delivery thereof shall not affect the validity of the corporate action required to be specified in such notice. To the extent that any notice provided to the Holder in accordance with the terms of this Warrant constitutes, or contains, material, non-public information regarding the Company or any of the subsidiaries, the Company shall simultaneously file such notice with the Commission pursuant to a Current Report on Form 8-K, unless determined by the Company that such filing would be harmful to the Company at such time, in which case the Company shall file such 8-K as soon as is reasonably practicable in its discretion. The Holder shall remain entitled to exercise this Warrant during the period commencing on the date of such notice to the effective date of the event triggering such notice except as may otherwise be expressly set forth herein.</w:t>
      </w:r>
    </w:p>
    <w:p>
      <w:pPr>
        <w:spacing w:after="0" w:line="192" w:lineRule="exact"/>
        <w:rPr>
          <w:rFonts w:ascii="Times New Roman" w:cs="Times New Roman" w:eastAsia="Times New Roman" w:hAnsi="Times New Roman"/>
          <w:sz w:val="18"/>
          <w:szCs w:val="18"/>
          <w:color w:val="auto"/>
        </w:rPr>
      </w:pPr>
    </w:p>
    <w:p>
      <w:pPr>
        <w:ind w:right="200" w:firstLine="1045"/>
        <w:spacing w:after="0" w:line="266" w:lineRule="auto"/>
        <w:tabs>
          <w:tab w:leader="none" w:pos="1251" w:val="left"/>
        </w:tabs>
        <w:numPr>
          <w:ilvl w:val="3"/>
          <w:numId w:val="20"/>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Voluntary Adjustment By Company.</w:t>
      </w:r>
      <w:r>
        <w:rPr>
          <w:rFonts w:ascii="Times New Roman" w:cs="Times New Roman" w:eastAsia="Times New Roman" w:hAnsi="Times New Roman"/>
          <w:sz w:val="18"/>
          <w:szCs w:val="18"/>
          <w:color w:val="auto"/>
        </w:rPr>
        <w:t xml:space="preserve"> Subject to the rules and regulations of the Principal Trading Market, the Company may at any time during the term of this Warrant, reduce the then-current Exercise Price to any amount and for any period of time deemed appropriate by the board of directors of the Company.</w:t>
      </w:r>
    </w:p>
    <w:p>
      <w:pPr>
        <w:spacing w:after="0" w:line="171" w:lineRule="exact"/>
        <w:rPr>
          <w:rFonts w:ascii="Times New Roman" w:cs="Times New Roman" w:eastAsia="Times New Roman" w:hAnsi="Times New Roman"/>
          <w:sz w:val="18"/>
          <w:szCs w:val="18"/>
          <w:u w:val="single" w:color="auto"/>
          <w:color w:val="auto"/>
        </w:rPr>
      </w:pPr>
    </w:p>
    <w:p>
      <w:pPr>
        <w:ind w:firstLine="449"/>
        <w:spacing w:after="0" w:line="259" w:lineRule="auto"/>
        <w:tabs>
          <w:tab w:leader="none" w:pos="711" w:val="left"/>
        </w:tabs>
        <w:numPr>
          <w:ilvl w:val="1"/>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Payment of Exercise Price</w:t>
      </w:r>
      <w:r>
        <w:rPr>
          <w:rFonts w:ascii="Times New Roman" w:cs="Times New Roman" w:eastAsia="Times New Roman" w:hAnsi="Times New Roman"/>
          <w:sz w:val="18"/>
          <w:szCs w:val="18"/>
          <w:color w:val="auto"/>
        </w:rPr>
        <w:t>. Except as contemplated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9(d)</w:t>
      </w:r>
      <w:r>
        <w:rPr>
          <w:rFonts w:ascii="Times New Roman" w:cs="Times New Roman" w:eastAsia="Times New Roman" w:hAnsi="Times New Roman"/>
          <w:sz w:val="18"/>
          <w:szCs w:val="18"/>
          <w:color w:val="auto"/>
        </w:rPr>
        <w:t>, following the initial effectiveness of a resale registration statement covering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Warrant Shares, if, and only if, at the time of exercise hereof, there is no effective registration statement registering, or no current prospectus available for, the resale of the Warrant Shares by the Holder, then the Holder may, in its sole discretion, satisfy its obligation to pay the Exercise Price through a “cashless exercise”, in which event the Company shall issue to the Holder the number of Warrant Shares in an exchange of securities effected pursuant to Section 3(a)(9) of the Securities Act, determined as follows:</w:t>
      </w:r>
    </w:p>
    <w:p>
      <w:pPr>
        <w:spacing w:after="0" w:line="7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X = Y [(A-B)/A]</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where:</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“X” equals the number of Warrant Shares to be issued to the Holder;</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“Y” equals the total number of Warrant Shares with respect to which this Warrant is then being exercised;</w:t>
      </w:r>
    </w:p>
    <w:p>
      <w:pPr>
        <w:spacing w:after="0" w:line="117" w:lineRule="exact"/>
        <w:rPr>
          <w:sz w:val="20"/>
          <w:szCs w:val="20"/>
          <w:color w:val="auto"/>
        </w:rPr>
      </w:pPr>
    </w:p>
    <w:p>
      <w:pPr>
        <w:ind w:right="280" w:firstLine="441"/>
        <w:spacing w:after="0" w:line="282" w:lineRule="auto"/>
        <w:rPr>
          <w:sz w:val="20"/>
          <w:szCs w:val="20"/>
          <w:color w:val="auto"/>
        </w:rPr>
      </w:pPr>
      <w:r>
        <w:rPr>
          <w:rFonts w:ascii="Times New Roman" w:cs="Times New Roman" w:eastAsia="Times New Roman" w:hAnsi="Times New Roman"/>
          <w:sz w:val="18"/>
          <w:szCs w:val="18"/>
          <w:color w:val="auto"/>
        </w:rPr>
        <w:t>“A” equals the Closing Sale Price of the shares of Common Stock (as reported by Bloomberg Financial Market) as of the Trading Day on the date immediately preceding the Exercise Date; and</w:t>
      </w:r>
    </w:p>
    <w:p>
      <w:pPr>
        <w:spacing w:after="0" w:line="5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“B” equals the Exercise Price then in effect for the applicable Warrant Shares at the time of such exercise.</w:t>
      </w:r>
    </w:p>
    <w:p>
      <w:pPr>
        <w:spacing w:after="0" w:line="225" w:lineRule="exact"/>
        <w:rPr>
          <w:sz w:val="20"/>
          <w:szCs w:val="20"/>
          <w:color w:val="auto"/>
        </w:rPr>
      </w:pPr>
    </w:p>
    <w:p>
      <w:pPr>
        <w:ind w:right="120"/>
        <w:spacing w:after="0" w:line="289" w:lineRule="auto"/>
        <w:rPr>
          <w:sz w:val="20"/>
          <w:szCs w:val="20"/>
          <w:color w:val="auto"/>
        </w:rPr>
      </w:pPr>
      <w:r>
        <w:rPr>
          <w:rFonts w:ascii="Times New Roman" w:cs="Times New Roman" w:eastAsia="Times New Roman" w:hAnsi="Times New Roman"/>
          <w:sz w:val="17"/>
          <w:szCs w:val="17"/>
          <w:color w:val="auto"/>
        </w:rPr>
        <w:t>For purposes of Rule 144 promulgated under the Securities Act, it is intended, understood and acknowledged that the Warrant Shares issued in a “cashless exercise” transaction shall be deemed to have been acquired by the Holder, and the holding period for the Warrant Shares shall be deemed to have commenced, on the Original Issue Date (provided that the Commission continues to take the position that such treatment is proper at the time of such</w:t>
      </w:r>
    </w:p>
    <w:p>
      <w:pPr>
        <w:sectPr>
          <w:pgSz w:w="11900" w:h="16838" w:orient="portrait"/>
          <w:cols w:equalWidth="0" w:num="1">
            <w:col w:w="11240"/>
          </w:cols>
          <w:pgMar w:left="320" w:top="1440" w:right="339" w:bottom="1440" w:gutter="0" w:footer="0" w:header="0"/>
        </w:sectPr>
      </w:pPr>
    </w:p>
    <w:bookmarkStart w:id="15" w:name="page16"/>
    <w:bookmarkEnd w:id="15"/>
    <w:p>
      <w:pPr>
        <w:spacing w:after="0" w:line="194"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 xml:space="preserve">exercise). In the event that a registration statement registering the issuance of Warrant Shares is, for any reason, not effective at the time of exercise of this Warrant, then this Warrant may only be exercised through a cashless exercise, as set forth in this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The Company acknowledges and agrees that, in accordance with Section 3(a)(9) of the Securities Act, any Warrant Shares issued pursuant to such a cashless exercise shall take on the characteristics of the Warrants being exercised and that, for purposes of Rule 144 under the Securities Act, the holding period of the Warrant Shares being issued may be tacked on to the exercising holder’s holding period of this Warrant.</w:t>
      </w:r>
    </w:p>
    <w:p>
      <w:pPr>
        <w:spacing w:after="0" w:line="179" w:lineRule="exact"/>
        <w:rPr>
          <w:sz w:val="20"/>
          <w:szCs w:val="20"/>
          <w:color w:val="auto"/>
        </w:rPr>
      </w:pPr>
    </w:p>
    <w:p>
      <w:pPr>
        <w:ind w:left="700" w:hanging="251"/>
        <w:spacing w:after="0"/>
        <w:tabs>
          <w:tab w:leader="none" w:pos="70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Limitations on Exercise</w:t>
      </w:r>
      <w:r>
        <w:rPr>
          <w:rFonts w:ascii="Times New Roman" w:cs="Times New Roman" w:eastAsia="Times New Roman" w:hAnsi="Times New Roman"/>
          <w:sz w:val="18"/>
          <w:szCs w:val="18"/>
          <w:color w:val="auto"/>
        </w:rPr>
        <w:t>.</w:t>
      </w:r>
    </w:p>
    <w:p>
      <w:pPr>
        <w:spacing w:after="0" w:line="256" w:lineRule="exact"/>
        <w:rPr>
          <w:rFonts w:ascii="Times New Roman" w:cs="Times New Roman" w:eastAsia="Times New Roman" w:hAnsi="Times New Roman"/>
          <w:sz w:val="18"/>
          <w:szCs w:val="18"/>
          <w:b w:val="1"/>
          <w:bCs w:val="1"/>
          <w:color w:val="auto"/>
        </w:rPr>
      </w:pPr>
    </w:p>
    <w:p>
      <w:pPr>
        <w:ind w:firstLine="980"/>
        <w:spacing w:after="0" w:line="251" w:lineRule="auto"/>
        <w:tabs>
          <w:tab w:leader="none" w:pos="1217"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 may notify the Company in writing in the event it elects to be subject to the provisions contained in this Section 11. For the avoidance of doubt, such notification shall be deemed to have been made if the appropriate box is checked in the signature page to the Subscription Agreement. If the election is deemed to have been made, the Company shall not effect any exercise of this Warrant, and a Holder shall not have the right to exercise any portion of this Warrant, to the extent that after giving effect to such issuance after exercise as set forth on the applicable Exercise Notice, the Holder (together with the Holder’s Affiliates, and any Persons acting as a group together with the Holder or any of the Holder’s Affiliates (such Persons, “</w:t>
      </w:r>
      <w:r>
        <w:rPr>
          <w:rFonts w:ascii="Times New Roman" w:cs="Times New Roman" w:eastAsia="Times New Roman" w:hAnsi="Times New Roman"/>
          <w:sz w:val="18"/>
          <w:szCs w:val="18"/>
          <w:b w:val="1"/>
          <w:bCs w:val="1"/>
          <w:color w:val="auto"/>
        </w:rPr>
        <w:t>Attribution Parties</w:t>
      </w:r>
      <w:r>
        <w:rPr>
          <w:rFonts w:ascii="Times New Roman" w:cs="Times New Roman" w:eastAsia="Times New Roman" w:hAnsi="Times New Roman"/>
          <w:sz w:val="18"/>
          <w:szCs w:val="18"/>
          <w:color w:val="auto"/>
        </w:rPr>
        <w:t>”)) would beneficially own in excess of the Beneficial Ownership Limitation (as defined below). For purposes of the foregoing sentence, the number of shares of Common Stock beneficially owned by the Holder, its Affiliates and Attribution Parties shall include the number of shares of Common Stock issuable upon exercise of this Warrant with respect to which such determination is being made, but shall exclude the number of shares of Common Stock which would be issuable upon (i) exercise of the remaining, nonexercised portion of this Warrant beneficially owned by the Holder or any of its Affiliates or Attribution Parties and (ii) exercise or conversion of the unexercised or unconverted portion of any other securities of the Company (including, without limitation, any other equity equivalents) subject to a limitation on conversion or exercise analogous to the limitation contained herein beneficially owned by the Holder or any of its Affiliates or Attribution Parties. Except as set forth in the preceding sentence, for purposes of this Section 11, beneficial ownership shall be calculated in accordance with Section 13(d) of the Exchange Act, and the rules and regulations promulgated thereunder, it being acknowledged by the Holder that the Company is not representing to the Holder that such calculation is in compliance with Section 13(d) of the Exchange Act and the Holder is solely responsible for any schedules required to be filed in accordance therewith. To the extent that the limitation contained in this Section 11 applies, submission of a Exercise Notice shall be deemed to be the Holder’s good faith determination of whether this Warrant is exercisable (in relation to other securities owned by the Holder together with any Affiliates and Attribution Parties) and of which portion of this Warrant is exercisable, in each case, subject to the Beneficial Ownership Limitation, and the Company shall have no obligation to verify or confirm the accuracy of such determination and shall have no liability for exercises of this Warrant that are not in compliance with the Beneficial Ownership Limitation. To ensure compliance with this restriction, the Holder will be deemed to represent to the Company each time it delivers of Exercise Notice that such Exercise Notice has not violated the restrictions set forth in this paragraph. In addition, a determination as to any group status as contemplated above shall be determined in accordance with Section 13(d) of the Exchange Act and the rules and regulations promulgated thereunder. The Holder shall provide the Company with any information reasonably requested by the Company in connection with this, and the Company shall have no obligation to verify or confirm the accuracy of such determination and shall have no liability for exercises of the Warrant that are not in compliance with the Beneficial Ownership Limitation. For purposes of this Section 11, in determining the number of outstanding shares of Common Stock, a Holder may rely on the number of outstanding shares of Common Stock as stated in the most recent of the following: (A) the Company’s most recent periodic or annual report filed with the Commission, as the case may be, (B) a more recent public announcement by the Company or (C) a more recent written notice by the Company or the Transfer Agent setting forth the number of shares of Common Stock outstanding (the “</w:t>
      </w:r>
      <w:r>
        <w:rPr>
          <w:rFonts w:ascii="Times New Roman" w:cs="Times New Roman" w:eastAsia="Times New Roman" w:hAnsi="Times New Roman"/>
          <w:sz w:val="18"/>
          <w:szCs w:val="18"/>
          <w:b w:val="1"/>
          <w:bCs w:val="1"/>
          <w:color w:val="auto"/>
        </w:rPr>
        <w:t>Reported Outstanding Share Number</w:t>
      </w:r>
      <w:r>
        <w:rPr>
          <w:rFonts w:ascii="Times New Roman" w:cs="Times New Roman" w:eastAsia="Times New Roman" w:hAnsi="Times New Roman"/>
          <w:sz w:val="18"/>
          <w:szCs w:val="18"/>
          <w:color w:val="auto"/>
        </w:rPr>
        <w:t>”). Upon the written or oral request (which may be via email) of a Holder, the Company shall within two (2) Trading Days confirm orally and in writing to the Holder the number of shares of Common Stock then outstanding. In any case, the number of outstanding shares of Common Stock shall be determined after giving effect to the conversion or exercise of securities of the Company, including this Warrant, by the Holder or its Affiliates or Attribution Parties since the date as of which such number of outstanding shares of Common Stock was reported. The “</w:t>
      </w:r>
      <w:r>
        <w:rPr>
          <w:rFonts w:ascii="Times New Roman" w:cs="Times New Roman" w:eastAsia="Times New Roman" w:hAnsi="Times New Roman"/>
          <w:sz w:val="18"/>
          <w:szCs w:val="18"/>
          <w:b w:val="1"/>
          <w:bCs w:val="1"/>
          <w:color w:val="auto"/>
        </w:rPr>
        <w:t>Beneficial Ownership Limitation</w:t>
      </w:r>
      <w:r>
        <w:rPr>
          <w:rFonts w:ascii="Times New Roman" w:cs="Times New Roman" w:eastAsia="Times New Roman" w:hAnsi="Times New Roman"/>
          <w:sz w:val="18"/>
          <w:szCs w:val="18"/>
          <w:color w:val="auto"/>
        </w:rPr>
        <w:t>” shall be 9.99% of the number of shares of the Common Stock outstanding immediately after giving effect to the issuance of shares of Common Stock issuable upon exercise of this Warrant. If</w:t>
      </w:r>
    </w:p>
    <w:p>
      <w:pPr>
        <w:sectPr>
          <w:pgSz w:w="11900" w:h="16838" w:orient="portrait"/>
          <w:cols w:equalWidth="0" w:num="1">
            <w:col w:w="11220"/>
          </w:cols>
          <w:pgMar w:left="320" w:top="1440" w:right="359" w:bottom="1440" w:gutter="0" w:footer="0" w:header="0"/>
        </w:sectPr>
      </w:pPr>
    </w:p>
    <w:bookmarkStart w:id="16" w:name="page17"/>
    <w:bookmarkEnd w:id="16"/>
    <w:p>
      <w:pPr>
        <w:spacing w:after="0" w:line="252" w:lineRule="auto"/>
        <w:rPr>
          <w:sz w:val="20"/>
          <w:szCs w:val="20"/>
          <w:color w:val="auto"/>
        </w:rPr>
      </w:pPr>
      <w:r>
        <w:rPr>
          <w:rFonts w:ascii="Times New Roman" w:cs="Times New Roman" w:eastAsia="Times New Roman" w:hAnsi="Times New Roman"/>
          <w:sz w:val="18"/>
          <w:szCs w:val="18"/>
          <w:color w:val="auto"/>
        </w:rPr>
        <w:t>the Company receives a Exercise Notice from the Holder at a time when the Company has knowledge that the actual number of outstanding shares of Common Stock is less than the Reported Outstanding Share Number, the Company shall notify the Holder in writing of the number of shares of Common Stock then outstanding and, to the extent that such Exercise Notice would otherwise cause the beneficial ownership of Holder together with the Attribution Parties, as determined pursuant to this Section 11, to exceed the Beneficial Ownership Limitation, the Holder shall then notify the Company of a reduced number of Warrant Shares to be purchased pursuant to such Exercise Notice (such notice, the “</w:t>
      </w:r>
      <w:r>
        <w:rPr>
          <w:rFonts w:ascii="Times New Roman" w:cs="Times New Roman" w:eastAsia="Times New Roman" w:hAnsi="Times New Roman"/>
          <w:sz w:val="18"/>
          <w:szCs w:val="18"/>
          <w:b w:val="1"/>
          <w:bCs w:val="1"/>
          <w:color w:val="auto"/>
        </w:rPr>
        <w:t>Reduction Notice</w:t>
      </w:r>
      <w:r>
        <w:rPr>
          <w:rFonts w:ascii="Times New Roman" w:cs="Times New Roman" w:eastAsia="Times New Roman" w:hAnsi="Times New Roman"/>
          <w:sz w:val="18"/>
          <w:szCs w:val="18"/>
          <w:color w:val="auto"/>
        </w:rPr>
        <w:t>”). Such issuance shall not be deemed to have occurred until the Holder provides the Reduction Notice (or a notice that no reduction is needed) to the Company. In the event that the issuance of Common Stock to the Holder upon exercise of this Warrant results in the Holder, together with the Attribution Parties, collectively being deemed to beneficially own, in the aggregate, more than the Beneficial Ownership Limitation, the number of shares so issued by which the aggregate Beneficial Ownership of the Holder and its Attribution Parties exceeds such limitation (the “</w:t>
      </w:r>
      <w:r>
        <w:rPr>
          <w:rFonts w:ascii="Times New Roman" w:cs="Times New Roman" w:eastAsia="Times New Roman" w:hAnsi="Times New Roman"/>
          <w:sz w:val="18"/>
          <w:szCs w:val="18"/>
          <w:b w:val="1"/>
          <w:bCs w:val="1"/>
          <w:color w:val="auto"/>
        </w:rPr>
        <w:t>Excess Shares</w:t>
      </w:r>
      <w:r>
        <w:rPr>
          <w:rFonts w:ascii="Times New Roman" w:cs="Times New Roman" w:eastAsia="Times New Roman" w:hAnsi="Times New Roman"/>
          <w:sz w:val="18"/>
          <w:szCs w:val="18"/>
          <w:color w:val="auto"/>
        </w:rPr>
        <w:t>”) shall be deemed null and void and shall be cancelled ab initio, and the Holder and/or the Attribution Parties shall not have the power to vote or to transfer the Excess Shares. As soon as reasonably practicable after the issuance of the Excess Shares has been deemed null and void, the Company shall return to the Holder the exercise price paid by the Holder for the Excess Shares and the Holder shall return the Excess Shares to the Company. The provisions of this paragraph shall be construed and implemented in a manner otherwise than in strict conformity with the terms of this Section 11 to correct this paragraph (or any portion hereof) which may be defective or inconsistent with the intended Beneficial Ownership Limitation herein contained or to make changes or supplements necessary or desirable to properly give effect to such limitation. The limitations contained in this paragraph shall apply to a successor holder of this Warrant.</w:t>
      </w:r>
    </w:p>
    <w:p>
      <w:pPr>
        <w:spacing w:after="0" w:line="192" w:lineRule="exact"/>
        <w:rPr>
          <w:sz w:val="20"/>
          <w:szCs w:val="20"/>
          <w:color w:val="auto"/>
        </w:rPr>
      </w:pPr>
    </w:p>
    <w:p>
      <w:pPr>
        <w:ind w:right="380" w:firstLine="449"/>
        <w:spacing w:after="0" w:line="268" w:lineRule="auto"/>
        <w:tabs>
          <w:tab w:leader="none" w:pos="711"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No Fractional Shares</w:t>
      </w:r>
      <w:r>
        <w:rPr>
          <w:rFonts w:ascii="Times New Roman" w:cs="Times New Roman" w:eastAsia="Times New Roman" w:hAnsi="Times New Roman"/>
          <w:sz w:val="18"/>
          <w:szCs w:val="18"/>
          <w:color w:val="auto"/>
        </w:rPr>
        <w:t>. No fractional Warrant Shares will be issued in connection with any exercise of this Warrant. In lieu of any fractional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shares that would otherwise be issuable, the number of Warrant Shares to be issued shall be rounded down to the next whole number and the Company shall pay the Holder in cash the fair market value (based on the Closing Sale Price) for any such fractional shares.</w:t>
      </w:r>
    </w:p>
    <w:p>
      <w:pPr>
        <w:spacing w:after="0" w:line="197" w:lineRule="exact"/>
        <w:rPr>
          <w:rFonts w:ascii="Times New Roman" w:cs="Times New Roman" w:eastAsia="Times New Roman" w:hAnsi="Times New Roman"/>
          <w:sz w:val="18"/>
          <w:szCs w:val="18"/>
          <w:b w:val="1"/>
          <w:bCs w:val="1"/>
          <w:color w:val="auto"/>
        </w:rPr>
      </w:pPr>
    </w:p>
    <w:p>
      <w:pPr>
        <w:ind w:right="100" w:firstLine="449"/>
        <w:spacing w:after="0" w:line="256" w:lineRule="auto"/>
        <w:tabs>
          <w:tab w:leader="none" w:pos="711"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Notices</w:t>
      </w:r>
      <w:r>
        <w:rPr>
          <w:rFonts w:ascii="Times New Roman" w:cs="Times New Roman" w:eastAsia="Times New Roman" w:hAnsi="Times New Roman"/>
          <w:sz w:val="18"/>
          <w:szCs w:val="18"/>
          <w:color w:val="auto"/>
        </w:rPr>
        <w:t>. Any and all notices or other communications or deliveries hereunder (including, without limitation, any Exercise Notice) shall be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writing and shall be deemed given and effective on the earliest of (i) the date of transmission, if such notice or communication is delivered confirmed e-mail at the e-mail address specified by the Company prior to 5:30 P.M., New York City time, on a Trading Day, (ii) the next Trading Day after the date of transmission, if such notice or communication is delivered via e-mail at the e-mail address specified by the Company on a day that is not a Trading Day or later than 5:30 P.M., New York City time, on any Trading Day, (iii) the Trading Day following the date of mailing, if sent by nationally recognized overnight courier service specifying next business day delivery, or (iv) upon actual receipt by the Person to whom such notice is required to be given, if by hand delivery.</w:t>
      </w:r>
    </w:p>
    <w:p>
      <w:pPr>
        <w:spacing w:after="0" w:line="182" w:lineRule="exact"/>
        <w:rPr>
          <w:rFonts w:ascii="Times New Roman" w:cs="Times New Roman" w:eastAsia="Times New Roman" w:hAnsi="Times New Roman"/>
          <w:sz w:val="18"/>
          <w:szCs w:val="18"/>
          <w:b w:val="1"/>
          <w:bCs w:val="1"/>
          <w:color w:val="auto"/>
        </w:rPr>
      </w:pPr>
    </w:p>
    <w:p>
      <w:pPr>
        <w:ind w:right="180" w:firstLine="449"/>
        <w:spacing w:after="0" w:line="257" w:lineRule="auto"/>
        <w:tabs>
          <w:tab w:leader="none" w:pos="711"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Warrant Agent</w:t>
      </w:r>
      <w:r>
        <w:rPr>
          <w:rFonts w:ascii="Times New Roman" w:cs="Times New Roman" w:eastAsia="Times New Roman" w:hAnsi="Times New Roman"/>
          <w:sz w:val="18"/>
          <w:szCs w:val="18"/>
          <w:color w:val="auto"/>
        </w:rPr>
        <w:t>. The Company shall initially serve as warrant agent under this Warrant. Upon 30 days’ notice to the Holder, the Company may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appoint a new warrant agent. Any corporation into which the Company or any new warrant agent may be merged or any corporation resulting from any consolidation to which the Company or any new warrant agent shall be a party or any corporation to which the Company or any new warrant agent transfers substantially all of its corporate trust or shareholders services business shall be a successor warrant agent under this Warrant without any further act. Any such successor warrant agent shall promptly cause notice of its succession as warrant agent to be mailed (by first class mail, postage prepaid) to the Holder at the Holder’s last address as shown on the Warrant Register.</w:t>
      </w:r>
    </w:p>
    <w:p>
      <w:pPr>
        <w:spacing w:after="0" w:line="182" w:lineRule="exact"/>
        <w:rPr>
          <w:rFonts w:ascii="Times New Roman" w:cs="Times New Roman" w:eastAsia="Times New Roman" w:hAnsi="Times New Roman"/>
          <w:sz w:val="18"/>
          <w:szCs w:val="18"/>
          <w:b w:val="1"/>
          <w:bCs w:val="1"/>
          <w:color w:val="auto"/>
        </w:rPr>
      </w:pPr>
    </w:p>
    <w:p>
      <w:pPr>
        <w:ind w:left="720" w:hanging="271"/>
        <w:spacing w:after="0"/>
        <w:tabs>
          <w:tab w:leader="none" w:pos="72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Miscellaneous</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b w:val="1"/>
          <w:bCs w:val="1"/>
          <w:color w:val="auto"/>
        </w:rPr>
      </w:pPr>
    </w:p>
    <w:p>
      <w:pPr>
        <w:ind w:right="200" w:firstLine="1000"/>
        <w:spacing w:after="0" w:line="256" w:lineRule="auto"/>
        <w:tabs>
          <w:tab w:leader="none" w:pos="1236" w:val="left"/>
        </w:tabs>
        <w:numPr>
          <w:ilvl w:val="1"/>
          <w:numId w:val="22"/>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No Rights as a Stockholder</w:t>
      </w:r>
      <w:r>
        <w:rPr>
          <w:rFonts w:ascii="Times New Roman" w:cs="Times New Roman" w:eastAsia="Times New Roman" w:hAnsi="Times New Roman"/>
          <w:sz w:val="18"/>
          <w:szCs w:val="18"/>
          <w:color w:val="auto"/>
        </w:rPr>
        <w:t>. Except as otherwise set forth in this Warrant, the Holder, solely in such Person’s capacity as a holder of this Warrant, shall not be entitled to vote or receive dividends or be deemed the holder of share capital of the Company for any purpose, nor shall anything contained in this Warrant be construed to confer upon the Holder, solely in such Person’s capacity as the Holder of this Warrant, any of the rights of a stockholder of the Company or any right to vote, give or withhold consent to any corporate action (whether any reorganization, issue of stock, reclassification of stock, consolidation, merger, amalgamation, conveyance or otherwise), receive notice of meetings, receive dividends or subscription rights, or otherwise, prior to the issuance to</w:t>
      </w:r>
    </w:p>
    <w:p>
      <w:pPr>
        <w:sectPr>
          <w:pgSz w:w="11900" w:h="16838" w:orient="portrait"/>
          <w:cols w:equalWidth="0" w:num="1">
            <w:col w:w="11240"/>
          </w:cols>
          <w:pgMar w:left="320" w:top="1417" w:right="339" w:bottom="1440" w:gutter="0" w:footer="0" w:header="0"/>
        </w:sectPr>
      </w:pPr>
    </w:p>
    <w:bookmarkStart w:id="17" w:name="page18"/>
    <w:bookmarkEnd w:id="17"/>
    <w:p>
      <w:pPr>
        <w:spacing w:after="0" w:line="194"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Holder of the Warrant Shares which such Person is then entitled to receive upon the due exercise of this Warrant. In addition, nothing contained in this Warrant shall be construed as imposing any liabilities on the Holder to purchase any securities (upon exercise of this Warrant or otherwise) or as a stockholder of the Company, whether such liabilities are asserted by the Company or by creditors of the Company.</w:t>
      </w:r>
    </w:p>
    <w:p>
      <w:pPr>
        <w:spacing w:after="0" w:line="176" w:lineRule="exact"/>
        <w:rPr>
          <w:sz w:val="20"/>
          <w:szCs w:val="20"/>
          <w:color w:val="auto"/>
        </w:rPr>
      </w:pPr>
    </w:p>
    <w:p>
      <w:pPr>
        <w:ind w:firstLine="1000"/>
        <w:spacing w:after="0" w:line="253" w:lineRule="auto"/>
        <w:tabs>
          <w:tab w:leader="none" w:pos="1246" w:val="left"/>
        </w:tabs>
        <w:numPr>
          <w:ilvl w:val="1"/>
          <w:numId w:val="23"/>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 Except and to the extent as waived or consented to by the Holder, the Company shall not by any action, including, without limitation, amending its certificate or articles of incorporation or through any reorganization, transfer of assets, consolidation, merger, dissolution, issue or sale of securities or any other voluntary action, avoid or seek to avoid the observance or performance of any of the terms of this Warrant, but will at all times in good faith assist in the carrying out of all such terms and in the taking of all such actions as may be necessary or appropriate to protect the rights of Holder as set forth in this Warrant against impairment. Without limiting the generality of the foregoing, the Company will (a) not increase the par value of any Warrant Shares above the amount payable therefor upon such exercise immediately prior to such increase in par value, (b) take all such action as may be necessary or appropriate in order that the Company may validly and legally issue fully paid and non-assessable Warrant Shares upon the exercise of this Warrant, and (c) use commercially reasonable efforts to obtain all such authorizations, exemptions or consents from any public regulatory body having jurisdiction thereof as may be necessary to enable the Company to perform its obligations under this Warrant. Before taking any action which would result in an adjustment in the number of Warrant Shares for which this Warrant is exercisable or in the Exercise Price, the Company shall obtain all such authorizations or exemptions thereof, or consents thereto, as may be necessary from any public regulatory body or bodies having jurisdiction thereof.</w:t>
      </w:r>
    </w:p>
    <w:p>
      <w:pPr>
        <w:spacing w:after="0" w:line="191" w:lineRule="exact"/>
        <w:rPr>
          <w:rFonts w:ascii="Times New Roman" w:cs="Times New Roman" w:eastAsia="Times New Roman" w:hAnsi="Times New Roman"/>
          <w:sz w:val="18"/>
          <w:szCs w:val="18"/>
          <w:u w:val="single" w:color="auto"/>
          <w:color w:val="auto"/>
        </w:rPr>
      </w:pPr>
    </w:p>
    <w:p>
      <w:pPr>
        <w:ind w:right="100" w:firstLine="1000"/>
        <w:spacing w:after="0" w:line="277" w:lineRule="auto"/>
        <w:tabs>
          <w:tab w:leader="none" w:pos="1236" w:val="left"/>
        </w:tabs>
        <w:numPr>
          <w:ilvl w:val="1"/>
          <w:numId w:val="23"/>
        </w:numPr>
        <w:rPr>
          <w:rFonts w:ascii="Times New Roman" w:cs="Times New Roman" w:eastAsia="Times New Roman" w:hAnsi="Times New Roman"/>
          <w:sz w:val="17"/>
          <w:szCs w:val="17"/>
          <w:u w:val="single" w:color="auto"/>
          <w:color w:val="auto"/>
        </w:rPr>
      </w:pPr>
      <w:r>
        <w:rPr>
          <w:rFonts w:ascii="Times New Roman" w:cs="Times New Roman" w:eastAsia="Times New Roman" w:hAnsi="Times New Roman"/>
          <w:sz w:val="17"/>
          <w:szCs w:val="17"/>
          <w:u w:val="single" w:color="auto"/>
          <w:color w:val="auto"/>
        </w:rPr>
        <w:t>Successors and Assigns</w:t>
      </w:r>
      <w:r>
        <w:rPr>
          <w:rFonts w:ascii="Times New Roman" w:cs="Times New Roman" w:eastAsia="Times New Roman" w:hAnsi="Times New Roman"/>
          <w:sz w:val="17"/>
          <w:szCs w:val="17"/>
          <w:color w:val="auto"/>
        </w:rPr>
        <w:t>. Subject to compliance with applicable securities laws, this Warrant may be assigned by the Holder. This Warrant may not be assigned by the Company without the written consent of the Holder, except to a successor in the event of a Fundamental Transaction. This Warrant shall be binding on and inure to the benefit of the Company and the Holder and their respective successors and assigns. Subject to the preceding sentence, nothing in this Warrant shall be construed to give to any Person other than the Company and the Holder any legal or equitable right, remedy or cause of action under this Warrant. This Warrant may be amended only in writing signed by the Company and the Holder, or their successors and assigns.</w:t>
      </w:r>
    </w:p>
    <w:p>
      <w:pPr>
        <w:spacing w:after="0" w:line="167" w:lineRule="exact"/>
        <w:rPr>
          <w:rFonts w:ascii="Times New Roman" w:cs="Times New Roman" w:eastAsia="Times New Roman" w:hAnsi="Times New Roman"/>
          <w:sz w:val="17"/>
          <w:szCs w:val="17"/>
          <w:u w:val="single" w:color="auto"/>
          <w:color w:val="auto"/>
        </w:rPr>
      </w:pPr>
    </w:p>
    <w:p>
      <w:pPr>
        <w:ind w:right="20" w:firstLine="1000"/>
        <w:spacing w:after="0" w:line="266" w:lineRule="auto"/>
        <w:tabs>
          <w:tab w:leader="none" w:pos="1246" w:val="left"/>
        </w:tabs>
        <w:numPr>
          <w:ilvl w:val="1"/>
          <w:numId w:val="23"/>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Amendment and Waiver</w:t>
      </w:r>
      <w:r>
        <w:rPr>
          <w:rFonts w:ascii="Times New Roman" w:cs="Times New Roman" w:eastAsia="Times New Roman" w:hAnsi="Times New Roman"/>
          <w:sz w:val="18"/>
          <w:szCs w:val="18"/>
          <w:color w:val="auto"/>
        </w:rPr>
        <w:t>. Except as otherwise provided herein, the provisions of this Warrant may be amended and the Company may take any action herein prohibited, or omit to perform any act herein required to be performed by it, only if the Company has obtained the written consent of the Holder.</w:t>
      </w:r>
    </w:p>
    <w:p>
      <w:pPr>
        <w:spacing w:after="0" w:line="175" w:lineRule="exact"/>
        <w:rPr>
          <w:rFonts w:ascii="Times New Roman" w:cs="Times New Roman" w:eastAsia="Times New Roman" w:hAnsi="Times New Roman"/>
          <w:sz w:val="18"/>
          <w:szCs w:val="18"/>
          <w:u w:val="single" w:color="auto"/>
          <w:color w:val="auto"/>
        </w:rPr>
      </w:pPr>
    </w:p>
    <w:p>
      <w:pPr>
        <w:ind w:right="700" w:firstLine="1000"/>
        <w:spacing w:after="0" w:line="282" w:lineRule="auto"/>
        <w:tabs>
          <w:tab w:leader="none" w:pos="1236" w:val="left"/>
        </w:tabs>
        <w:numPr>
          <w:ilvl w:val="1"/>
          <w:numId w:val="23"/>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Acceptance</w:t>
      </w:r>
      <w:r>
        <w:rPr>
          <w:rFonts w:ascii="Times New Roman" w:cs="Times New Roman" w:eastAsia="Times New Roman" w:hAnsi="Times New Roman"/>
          <w:sz w:val="18"/>
          <w:szCs w:val="18"/>
          <w:color w:val="auto"/>
        </w:rPr>
        <w:t>. Receipt of this Warrant by the Holder shall constitute acceptance of and agreement to all of the terms and conditions contained herein.</w:t>
      </w:r>
    </w:p>
    <w:p>
      <w:pPr>
        <w:spacing w:after="0" w:line="188" w:lineRule="exact"/>
        <w:rPr>
          <w:rFonts w:ascii="Times New Roman" w:cs="Times New Roman" w:eastAsia="Times New Roman" w:hAnsi="Times New Roman"/>
          <w:sz w:val="18"/>
          <w:szCs w:val="18"/>
          <w:u w:val="single" w:color="auto"/>
          <w:color w:val="auto"/>
        </w:rPr>
      </w:pPr>
    </w:p>
    <w:p>
      <w:pPr>
        <w:ind w:firstLine="980"/>
        <w:spacing w:after="0" w:line="253" w:lineRule="auto"/>
        <w:tabs>
          <w:tab w:leader="none" w:pos="1197" w:val="left"/>
        </w:tabs>
        <w:numPr>
          <w:ilvl w:val="0"/>
          <w:numId w:val="24"/>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Governing Law; Jurisdiction</w:t>
      </w:r>
      <w:r>
        <w:rPr>
          <w:rFonts w:ascii="Times New Roman" w:cs="Times New Roman" w:eastAsia="Times New Roman" w:hAnsi="Times New Roman"/>
          <w:sz w:val="18"/>
          <w:szCs w:val="18"/>
          <w:color w:val="auto"/>
        </w:rPr>
        <w:t>. The validity, interpretation, and performance of this Warrant shall be governed in all respects by the laws of the State of New York, without giving effect to conflicts of law principles that would result in the application of the substantive laws of another jurisdiction. The Company hereby agrees that any action, proceeding or claim against it arising out of or relating in any way to this Warrant shall be brought and enforced in the courts of the State of New York or the United States District Court for the Southern District of New York, and irrevocably submits to such jurisdiction, which jurisdiction shall be the exclusive forum for any such action, proceeding or claim. The Company hereby waives any objection to such exclusive jurisdiction and that such courts represent an inconvenient forum. Notwithstanding the foregoing, the provisions of this paragraph will not apply to suits brought to enforce any liability or duty created by the Exchange Act or any other claim for which the federal district courts of the United States of America are the sole and exclusive forum. Any person or entity purchasing or otherwise acquiring any interest in the Warrant shall be deemed to have notice of and to have consented to the forum provisions in this Warrant. If any action, the subject matter of which is within the scope of the forum provisions of this Warrant, is filed in a court other than a court of the State of New York or the United States District Court for the Southern District of New York (a “</w:t>
      </w:r>
      <w:r>
        <w:rPr>
          <w:rFonts w:ascii="Times New Roman" w:cs="Times New Roman" w:eastAsia="Times New Roman" w:hAnsi="Times New Roman"/>
          <w:sz w:val="18"/>
          <w:szCs w:val="18"/>
          <w:u w:val="single" w:color="auto"/>
          <w:color w:val="auto"/>
        </w:rPr>
        <w:t>foreign action</w:t>
      </w:r>
      <w:r>
        <w:rPr>
          <w:rFonts w:ascii="Times New Roman" w:cs="Times New Roman" w:eastAsia="Times New Roman" w:hAnsi="Times New Roman"/>
          <w:sz w:val="18"/>
          <w:szCs w:val="18"/>
          <w:color w:val="auto"/>
        </w:rPr>
        <w:t>”) in the name of any holder of the Warrant, such holder shall be deemed to have consented to: (x) the personal jurisdiction of the state and federal courts located in the State of New York in connection with any action brought in any such court to enforce the forum provisions (an “</w:t>
      </w:r>
      <w:r>
        <w:rPr>
          <w:rFonts w:ascii="Times New Roman" w:cs="Times New Roman" w:eastAsia="Times New Roman" w:hAnsi="Times New Roman"/>
          <w:sz w:val="18"/>
          <w:szCs w:val="18"/>
          <w:u w:val="single" w:color="auto"/>
          <w:color w:val="auto"/>
        </w:rPr>
        <w:t>enforcement action</w:t>
      </w:r>
      <w:r>
        <w:rPr>
          <w:rFonts w:ascii="Times New Roman" w:cs="Times New Roman" w:eastAsia="Times New Roman" w:hAnsi="Times New Roman"/>
          <w:sz w:val="18"/>
          <w:szCs w:val="18"/>
          <w:color w:val="auto"/>
        </w:rPr>
        <w:t>”), and (y) having service of process made upon such warrant holder in</w:t>
      </w:r>
    </w:p>
    <w:p>
      <w:pPr>
        <w:sectPr>
          <w:pgSz w:w="11900" w:h="16838" w:orient="portrait"/>
          <w:cols w:equalWidth="0" w:num="1">
            <w:col w:w="11240"/>
          </w:cols>
          <w:pgMar w:left="320" w:top="1440"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color w:val="auto"/>
        </w:rPr>
        <w:t>any such enforcement action by service upon such warrant holder’s counsel in the foreign action as agent for such warrant holder.</w:t>
      </w:r>
    </w:p>
    <w:p>
      <w:pPr>
        <w:spacing w:after="0" w:line="225" w:lineRule="exact"/>
        <w:rPr>
          <w:sz w:val="20"/>
          <w:szCs w:val="20"/>
          <w:color w:val="auto"/>
        </w:rPr>
      </w:pPr>
    </w:p>
    <w:p>
      <w:pPr>
        <w:ind w:firstLine="1000"/>
        <w:spacing w:after="0" w:line="282" w:lineRule="auto"/>
        <w:tabs>
          <w:tab w:leader="none" w:pos="1246" w:val="left"/>
        </w:tabs>
        <w:numPr>
          <w:ilvl w:val="0"/>
          <w:numId w:val="25"/>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herein are for convenience only, do not constitute a part of this Warrant and shall not be deemed to limit or affect any of the provisions hereof.</w:t>
      </w:r>
    </w:p>
    <w:p>
      <w:pPr>
        <w:spacing w:after="0" w:line="161" w:lineRule="exact"/>
        <w:rPr>
          <w:rFonts w:ascii="Times New Roman" w:cs="Times New Roman" w:eastAsia="Times New Roman" w:hAnsi="Times New Roman"/>
          <w:sz w:val="18"/>
          <w:szCs w:val="18"/>
          <w:u w:val="single" w:color="auto"/>
          <w:color w:val="auto"/>
        </w:rPr>
      </w:pPr>
    </w:p>
    <w:p>
      <w:pPr>
        <w:ind w:right="280" w:firstLine="1000"/>
        <w:spacing w:after="0" w:line="261" w:lineRule="auto"/>
        <w:tabs>
          <w:tab w:leader="none" w:pos="1246" w:val="left"/>
        </w:tabs>
        <w:numPr>
          <w:ilvl w:val="0"/>
          <w:numId w:val="25"/>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part or provision of this Warrant is held unenforceable or in conflict with the applicable laws or regulations of any jurisdiction, the invalid or unenforceable part or provisions shall be replaced with a provision which accomplishes, to the extent possible, the original business purpose of such part or provision in a valid and enforceable manner, and the remainder of this Warrant shall remain binding upon the parties hereto.</w:t>
      </w:r>
    </w:p>
    <w:p>
      <w:pPr>
        <w:spacing w:after="0" w:line="39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[REMAINDER OF PAGE INTENTIONALLY LEFT BLANK]</w:t>
      </w:r>
    </w:p>
    <w:p>
      <w:pPr>
        <w:sectPr>
          <w:pgSz w:w="11900" w:h="16838" w:orient="portrait"/>
          <w:cols w:equalWidth="0" w:num="1">
            <w:col w:w="11160"/>
          </w:cols>
          <w:pgMar w:left="320" w:top="1417" w:right="41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7"/>
          <w:szCs w:val="17"/>
          <w:color w:val="auto"/>
        </w:rPr>
        <w:t>IN WITNESS WHEREOF, the Company has caused this Warrant to be duly executed by its authorized officer as of the date first indicated above.</w:t>
      </w:r>
    </w:p>
    <w:p>
      <w:pPr>
        <w:sectPr>
          <w:pgSz w:w="11900" w:h="16838" w:orient="portrait"/>
          <w:cols w:equalWidth="0" w:num="1">
            <w:col w:w="10500"/>
          </w:cols>
          <w:pgMar w:left="320" w:top="1417" w:right="1079" w:bottom="1440" w:gutter="0" w:footer="0" w:header="0"/>
        </w:sectPr>
      </w:pPr>
    </w:p>
    <w:p>
      <w:pPr>
        <w:spacing w:after="0" w:line="200" w:lineRule="exact"/>
        <w:rPr>
          <w:sz w:val="20"/>
          <w:szCs w:val="20"/>
          <w:color w:val="auto"/>
        </w:rPr>
      </w:pPr>
    </w:p>
    <w:p>
      <w:pPr>
        <w:spacing w:after="0" w:line="343"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7"/>
          <w:szCs w:val="17"/>
          <w:b w:val="1"/>
          <w:bCs w:val="1"/>
          <w:color w:val="auto"/>
        </w:rPr>
        <w:t>KODIAK AI, INC.</w:t>
      </w:r>
    </w:p>
    <w:p>
      <w:pPr>
        <w:spacing w:after="0" w:line="254"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3382645</wp:posOffset>
            </wp:positionH>
            <wp:positionV relativeFrom="paragraph">
              <wp:posOffset>24765</wp:posOffset>
            </wp:positionV>
            <wp:extent cx="141414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14145" cy="8890"/>
                    </a:xfrm>
                    <a:prstGeom prst="rect">
                      <a:avLst/>
                    </a:prstGeom>
                    <a:noFill/>
                  </pic:spPr>
                </pic:pic>
              </a:graphicData>
            </a:graphic>
          </wp:anchor>
        </w:drawing>
      </w:r>
    </w:p>
    <w:p>
      <w:pPr>
        <w:spacing w:after="0" w:line="2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Title:</w:t>
      </w:r>
    </w:p>
    <w:p>
      <w:pPr>
        <w:sectPr>
          <w:pgSz w:w="11900" w:h="16838" w:orient="portrait"/>
          <w:cols w:equalWidth="0" w:num="1">
            <w:col w:w="10500"/>
          </w:cols>
          <w:pgMar w:left="320" w:top="1417" w:right="1079" w:bottom="1440" w:gutter="0" w:footer="0" w:header="0"/>
          <w:type w:val="continuous"/>
        </w:sectPr>
      </w:pPr>
    </w:p>
    <w:bookmarkStart w:id="20" w:name="page21"/>
    <w:bookmarkEnd w:id="20"/>
    <w:p>
      <w:pPr>
        <w:jc w:val="center"/>
        <w:ind w:right="-99"/>
        <w:spacing w:after="0"/>
        <w:rPr>
          <w:sz w:val="20"/>
          <w:szCs w:val="20"/>
          <w:color w:val="auto"/>
        </w:rPr>
      </w:pPr>
      <w:r>
        <w:rPr>
          <w:rFonts w:ascii="Times New Roman" w:cs="Times New Roman" w:eastAsia="Times New Roman" w:hAnsi="Times New Roman"/>
          <w:sz w:val="18"/>
          <w:szCs w:val="18"/>
          <w:u w:val="single" w:color="auto"/>
          <w:color w:val="auto"/>
        </w:rPr>
        <w:t>SCHEDULE 1</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FORM OF EXERCISE NOTICE</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[To be executed by the Holder to purchase shares of Common Stock under the Warrant]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3" w:lineRule="exact"/>
        <w:rPr>
          <w:sz w:val="20"/>
          <w:szCs w:val="20"/>
          <w:color w:val="auto"/>
        </w:rPr>
      </w:pPr>
    </w:p>
    <w:p>
      <w:pPr>
        <w:ind w:right="320" w:firstLine="8"/>
        <w:spacing w:after="0" w:line="284" w:lineRule="auto"/>
        <w:tabs>
          <w:tab w:leader="none" w:pos="2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is the Holder of Warrant No. __ (the “</w:t>
      </w:r>
      <w:r>
        <w:rPr>
          <w:rFonts w:ascii="Times New Roman" w:cs="Times New Roman" w:eastAsia="Times New Roman" w:hAnsi="Times New Roman"/>
          <w:sz w:val="18"/>
          <w:szCs w:val="18"/>
          <w:i w:val="1"/>
          <w:iCs w:val="1"/>
          <w:color w:val="auto"/>
        </w:rPr>
        <w:t>Warrant</w:t>
      </w:r>
      <w:r>
        <w:rPr>
          <w:rFonts w:ascii="Times New Roman" w:cs="Times New Roman" w:eastAsia="Times New Roman" w:hAnsi="Times New Roman"/>
          <w:sz w:val="18"/>
          <w:szCs w:val="18"/>
          <w:color w:val="auto"/>
        </w:rPr>
        <w:t>”) issued by Kodiak AI, Inc., a Delaware corporation (the “</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Capitalized terms used herein and not otherwise defined herein have the respective meanings set forth in the Warrant.</w:t>
      </w:r>
    </w:p>
    <w:p>
      <w:pPr>
        <w:spacing w:after="0" w:line="160"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hereby exercises its right to purchase Warrant Shares pursuant to the Warrant.</w:t>
      </w:r>
    </w:p>
    <w:p>
      <w:pPr>
        <w:spacing w:after="0" w:line="22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intends that payment of the Exercise Price shall be made as (check one):</w:t>
      </w:r>
    </w:p>
    <w:p>
      <w:pPr>
        <w:spacing w:after="0" w:line="49" w:lineRule="exact"/>
        <w:rPr>
          <w:rFonts w:ascii="Times New Roman" w:cs="Times New Roman" w:eastAsia="Times New Roman" w:hAnsi="Times New Roman"/>
          <w:sz w:val="18"/>
          <w:szCs w:val="18"/>
          <w:color w:val="auto"/>
        </w:rPr>
      </w:pPr>
    </w:p>
    <w:p>
      <w:pPr>
        <w:ind w:left="1100" w:hanging="579"/>
        <w:spacing w:after="0"/>
        <w:tabs>
          <w:tab w:leader="none" w:pos="1100" w:val="left"/>
        </w:tabs>
        <w:numPr>
          <w:ilvl w:val="2"/>
          <w:numId w:val="26"/>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Cash Exercise</w:t>
      </w:r>
    </w:p>
    <w:p>
      <w:pPr>
        <w:spacing w:after="0" w:line="200" w:lineRule="exact"/>
        <w:rPr>
          <w:rFonts w:ascii="MS PGothic" w:cs="MS PGothic" w:eastAsia="MS PGothic" w:hAnsi="MS PGothic"/>
          <w:sz w:val="18"/>
          <w:szCs w:val="18"/>
          <w:color w:val="auto"/>
        </w:rPr>
      </w:pPr>
    </w:p>
    <w:p>
      <w:pPr>
        <w:spacing w:after="0" w:line="376" w:lineRule="exact"/>
        <w:rPr>
          <w:rFonts w:ascii="MS PGothic" w:cs="MS PGothic" w:eastAsia="MS PGothic" w:hAnsi="MS PGothic"/>
          <w:sz w:val="18"/>
          <w:szCs w:val="18"/>
          <w:color w:val="auto"/>
        </w:rPr>
      </w:pPr>
    </w:p>
    <w:p>
      <w:pPr>
        <w:ind w:left="1100" w:hanging="579"/>
        <w:spacing w:after="0"/>
        <w:tabs>
          <w:tab w:leader="none" w:pos="1100" w:val="left"/>
        </w:tabs>
        <w:numPr>
          <w:ilvl w:val="2"/>
          <w:numId w:val="26"/>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“Cashless Exercise” under Section 10 of the Warrant</w:t>
      </w:r>
    </w:p>
    <w:p>
      <w:pPr>
        <w:spacing w:after="0" w:line="306" w:lineRule="exact"/>
        <w:rPr>
          <w:rFonts w:ascii="MS PGothic" w:cs="MS PGothic" w:eastAsia="MS PGothic" w:hAnsi="MS PGothic"/>
          <w:sz w:val="18"/>
          <w:szCs w:val="18"/>
          <w:color w:val="auto"/>
        </w:rPr>
      </w:pPr>
    </w:p>
    <w:p>
      <w:pPr>
        <w:ind w:right="140" w:firstLine="8"/>
        <w:spacing w:after="0" w:line="282" w:lineRule="auto"/>
        <w:tabs>
          <w:tab w:leader="none" w:pos="2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Holder has elected a Cash Exercise, the Holder shall pay the sum of $_____ in immediately available funds to the Company in accordance with the terms of the Warrant.</w:t>
      </w:r>
    </w:p>
    <w:p>
      <w:pPr>
        <w:spacing w:after="0" w:line="188" w:lineRule="exact"/>
        <w:rPr>
          <w:rFonts w:ascii="Times New Roman" w:cs="Times New Roman" w:eastAsia="Times New Roman" w:hAnsi="Times New Roman"/>
          <w:sz w:val="18"/>
          <w:szCs w:val="18"/>
          <w:color w:val="auto"/>
        </w:rPr>
      </w:pPr>
    </w:p>
    <w:p>
      <w:pPr>
        <w:ind w:right="40" w:firstLine="8"/>
        <w:spacing w:after="0" w:line="282" w:lineRule="auto"/>
        <w:tabs>
          <w:tab w:leader="none" w:pos="2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this Exercise Notice, the Company shall deliver to the Holder Warrant Shares determined in accordance with the terms of the Warrant. The Warrant Shares shall be delivered (check one):</w:t>
      </w:r>
    </w:p>
    <w:p>
      <w:pPr>
        <w:spacing w:after="0" w:line="229" w:lineRule="exact"/>
        <w:rPr>
          <w:rFonts w:ascii="Times New Roman" w:cs="Times New Roman" w:eastAsia="Times New Roman" w:hAnsi="Times New Roman"/>
          <w:sz w:val="18"/>
          <w:szCs w:val="18"/>
          <w:color w:val="auto"/>
        </w:rPr>
      </w:pPr>
    </w:p>
    <w:p>
      <w:pPr>
        <w:ind w:left="900" w:hanging="442"/>
        <w:spacing w:after="0"/>
        <w:tabs>
          <w:tab w:leader="none" w:pos="900" w:val="left"/>
        </w:tabs>
        <w:numPr>
          <w:ilvl w:val="1"/>
          <w:numId w:val="26"/>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to the following DWAC Account Number: _______________________________</w:t>
      </w:r>
    </w:p>
    <w:p>
      <w:pPr>
        <w:spacing w:after="0" w:line="55" w:lineRule="exact"/>
        <w:rPr>
          <w:rFonts w:ascii="MS PGothic" w:cs="MS PGothic" w:eastAsia="MS PGothic" w:hAnsi="MS PGothic"/>
          <w:sz w:val="18"/>
          <w:szCs w:val="18"/>
          <w:color w:val="auto"/>
        </w:rPr>
      </w:pPr>
    </w:p>
    <w:p>
      <w:pPr>
        <w:ind w:left="900" w:hanging="442"/>
        <w:spacing w:after="0"/>
        <w:tabs>
          <w:tab w:leader="none" w:pos="900" w:val="left"/>
        </w:tabs>
        <w:numPr>
          <w:ilvl w:val="1"/>
          <w:numId w:val="26"/>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in book-entry form via a direct registration system</w:t>
      </w:r>
    </w:p>
    <w:p>
      <w:pPr>
        <w:spacing w:after="0" w:line="138" w:lineRule="exact"/>
        <w:rPr>
          <w:rFonts w:ascii="MS PGothic" w:cs="MS PGothic" w:eastAsia="MS PGothic" w:hAnsi="MS PGothic"/>
          <w:sz w:val="18"/>
          <w:szCs w:val="18"/>
          <w:color w:val="auto"/>
        </w:rPr>
      </w:pPr>
    </w:p>
    <w:p>
      <w:pPr>
        <w:ind w:left="900" w:hanging="442"/>
        <w:spacing w:after="0"/>
        <w:tabs>
          <w:tab w:leader="none" w:pos="900" w:val="left"/>
        </w:tabs>
        <w:numPr>
          <w:ilvl w:val="1"/>
          <w:numId w:val="26"/>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in restricted book-entry form in the Company’s share register</w:t>
      </w:r>
    </w:p>
    <w:p>
      <w:pPr>
        <w:spacing w:after="0" w:line="200" w:lineRule="exact"/>
        <w:rPr>
          <w:rFonts w:ascii="MS PGothic" w:cs="MS PGothic" w:eastAsia="MS PGothic" w:hAnsi="MS PGothic"/>
          <w:sz w:val="18"/>
          <w:szCs w:val="18"/>
          <w:color w:val="auto"/>
        </w:rPr>
      </w:pPr>
    </w:p>
    <w:p>
      <w:pPr>
        <w:spacing w:after="0" w:line="268" w:lineRule="exact"/>
        <w:rPr>
          <w:rFonts w:ascii="MS PGothic" w:cs="MS PGothic" w:eastAsia="MS PGothic" w:hAnsi="MS PGothic"/>
          <w:sz w:val="18"/>
          <w:szCs w:val="18"/>
          <w:color w:val="auto"/>
        </w:rPr>
      </w:pPr>
    </w:p>
    <w:p>
      <w:pPr>
        <w:ind w:firstLine="8"/>
        <w:spacing w:after="0" w:line="261" w:lineRule="auto"/>
        <w:tabs>
          <w:tab w:leader="none" w:pos="2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its delivery of this Exercise Notice, the undersigned represents and warrants to the Company that in giving effect to the exercise evidenced hereby the Holder (i) the Holder is an “accredited investor” as defined in Regulation D promulgated under the Securities Act of 1933, as amended and (ii) will not beneficially own in excess of the number of shares of Common Stock (as determined in accordance with Section 13(d) of the Securities Exchange Act of 1934, as amended) permitted to be owned under </w:t>
      </w:r>
      <w:r>
        <w:rPr>
          <w:rFonts w:ascii="Times New Roman" w:cs="Times New Roman" w:eastAsia="Times New Roman" w:hAnsi="Times New Roman"/>
          <w:sz w:val="18"/>
          <w:szCs w:val="18"/>
          <w:u w:val="single" w:color="auto"/>
          <w:color w:val="auto"/>
        </w:rPr>
        <w:t>Section 11(a)</w:t>
      </w:r>
      <w:r>
        <w:rPr>
          <w:rFonts w:ascii="Times New Roman" w:cs="Times New Roman" w:eastAsia="Times New Roman" w:hAnsi="Times New Roman"/>
          <w:sz w:val="18"/>
          <w:szCs w:val="18"/>
          <w:color w:val="auto"/>
        </w:rPr>
        <w:t xml:space="preserve"> of the Warrant to which this notice relates.</w:t>
      </w:r>
    </w:p>
    <w:p>
      <w:pPr>
        <w:sectPr>
          <w:pgSz w:w="11900" w:h="16838" w:orient="portrait"/>
          <w:cols w:equalWidth="0" w:num="1">
            <w:col w:w="11160"/>
          </w:cols>
          <w:pgMar w:left="320" w:top="1417" w:right="419" w:bottom="1440" w:gutter="0" w:footer="0" w:header="0"/>
        </w:sectPr>
      </w:pPr>
    </w:p>
    <w:bookmarkStart w:id="21" w:name="page22"/>
    <w:bookmarkEnd w:id="21"/>
    <w:p>
      <w:pPr>
        <w:spacing w:after="0" w:line="28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1230630</wp:posOffset>
            </wp:positionH>
            <wp:positionV relativeFrom="paragraph">
              <wp:posOffset>17145</wp:posOffset>
            </wp:positionV>
            <wp:extent cx="23488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348865" cy="8255"/>
                    </a:xfrm>
                    <a:prstGeom prst="rect">
                      <a:avLst/>
                    </a:prstGeom>
                    <a:noFill/>
                  </pic:spPr>
                </pic:pic>
              </a:graphicData>
            </a:graphic>
          </wp:anchor>
        </w:drawing>
      </w:r>
    </w:p>
    <w:p>
      <w:pPr>
        <w:spacing w:after="0" w:line="21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Name of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1230630</wp:posOffset>
            </wp:positionH>
            <wp:positionV relativeFrom="paragraph">
              <wp:posOffset>17145</wp:posOffset>
            </wp:positionV>
            <wp:extent cx="23488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348865" cy="8255"/>
                    </a:xfrm>
                    <a:prstGeom prst="rect">
                      <a:avLst/>
                    </a:prstGeom>
                    <a:noFill/>
                  </pic:spPr>
                </pic:pic>
              </a:graphicData>
            </a:graphic>
          </wp:anchor>
        </w:drawing>
      </w:r>
    </w:p>
    <w:p>
      <w:pPr>
        <w:spacing w:after="0" w:line="21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1230630</wp:posOffset>
            </wp:positionH>
            <wp:positionV relativeFrom="paragraph">
              <wp:posOffset>17145</wp:posOffset>
            </wp:positionV>
            <wp:extent cx="23488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348865" cy="8255"/>
                    </a:xfrm>
                    <a:prstGeom prst="rect">
                      <a:avLst/>
                    </a:prstGeom>
                    <a:noFill/>
                  </pic:spPr>
                </pic:pic>
              </a:graphicData>
            </a:graphic>
          </wp:anchor>
        </w:drawing>
      </w:r>
    </w:p>
    <w:p>
      <w:pPr>
        <w:spacing w:after="0" w:line="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1230630</wp:posOffset>
            </wp:positionH>
            <wp:positionV relativeFrom="paragraph">
              <wp:posOffset>14605</wp:posOffset>
            </wp:positionV>
            <wp:extent cx="23488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348865" cy="8255"/>
                    </a:xfrm>
                    <a:prstGeom prst="rect">
                      <a:avLst/>
                    </a:prstGeom>
                    <a:noFill/>
                  </pic:spPr>
                </pic:pic>
              </a:graphicData>
            </a:graphic>
          </wp:anchor>
        </w:drawing>
      </w:r>
    </w:p>
    <w:p>
      <w:pPr>
        <w:spacing w:after="0" w:line="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1230630</wp:posOffset>
            </wp:positionH>
            <wp:positionV relativeFrom="paragraph">
              <wp:posOffset>14605</wp:posOffset>
            </wp:positionV>
            <wp:extent cx="234886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348865" cy="8890"/>
                    </a:xfrm>
                    <a:prstGeom prst="rect">
                      <a:avLst/>
                    </a:prstGeom>
                    <a:noFill/>
                  </pic:spPr>
                </pic:pic>
              </a:graphicData>
            </a:graphic>
          </wp:anchor>
        </w:drawing>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(Signature must conform in all respects to name of Holder as specified on the face of the Warrant)</w:t>
      </w:r>
    </w:p>
    <w:p>
      <w:pPr>
        <w:sectPr>
          <w:pgSz w:w="11900" w:h="16838" w:orient="portrait"/>
          <w:cols w:equalWidth="0" w:num="1">
            <w:col w:w="10139"/>
          </w:cols>
          <w:pgMar w:left="320" w:top="1440" w:right="1440" w:bottom="1440" w:gutter="0" w:footer="0" w:header="0"/>
        </w:sectPr>
      </w:pPr>
    </w:p>
    <w:bookmarkStart w:id="22" w:name="page23"/>
    <w:bookmarkEnd w:id="22"/>
    <w:p>
      <w:pPr>
        <w:jc w:val="right"/>
        <w:spacing w:after="0"/>
        <w:rPr>
          <w:sz w:val="20"/>
          <w:szCs w:val="20"/>
          <w:color w:val="auto"/>
        </w:rPr>
      </w:pPr>
      <w:r>
        <w:rPr>
          <w:rFonts w:ascii="Times New Roman" w:cs="Times New Roman" w:eastAsia="Times New Roman" w:hAnsi="Times New Roman"/>
          <w:sz w:val="20"/>
          <w:szCs w:val="20"/>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FORM OF SUBSCRIPTION AGREEMENT</w:t>
      </w:r>
    </w:p>
    <w:p>
      <w:pPr>
        <w:spacing w:after="0" w:line="233"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This Subscription Agreement (this “</w:t>
      </w:r>
      <w:r>
        <w:rPr>
          <w:rFonts w:ascii="Times New Roman" w:cs="Times New Roman" w:eastAsia="Times New Roman" w:hAnsi="Times New Roman"/>
          <w:sz w:val="20"/>
          <w:szCs w:val="20"/>
          <w:u w:val="single" w:color="auto"/>
          <w:color w:val="auto"/>
        </w:rPr>
        <w:t>Subscription Agreement</w:t>
      </w:r>
      <w:r>
        <w:rPr>
          <w:rFonts w:ascii="Times New Roman" w:cs="Times New Roman" w:eastAsia="Times New Roman" w:hAnsi="Times New Roman"/>
          <w:sz w:val="20"/>
          <w:szCs w:val="20"/>
          <w:color w:val="auto"/>
        </w:rPr>
        <w:t>”) is being entered into as of May 7, 2026, by and between Kodiak AI, Inc., a Delaware corporation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and the undersigned subscriber (the “</w:t>
      </w:r>
      <w:r>
        <w:rPr>
          <w:rFonts w:ascii="Times New Roman" w:cs="Times New Roman" w:eastAsia="Times New Roman" w:hAnsi="Times New Roman"/>
          <w:sz w:val="20"/>
          <w:szCs w:val="20"/>
          <w:u w:val="single" w:color="auto"/>
          <w:color w:val="auto"/>
        </w:rPr>
        <w:t>Investor</w:t>
      </w:r>
      <w:r>
        <w:rPr>
          <w:rFonts w:ascii="Times New Roman" w:cs="Times New Roman" w:eastAsia="Times New Roman" w:hAnsi="Times New Roman"/>
          <w:sz w:val="20"/>
          <w:szCs w:val="20"/>
          <w:color w:val="auto"/>
        </w:rPr>
        <w:t>”). The purchase and sale of Securities (as defined below) pursuant to this Subscription Agreement are referred to in this Subscription Agreement as the “</w:t>
      </w:r>
      <w:r>
        <w:rPr>
          <w:rFonts w:ascii="Times New Roman" w:cs="Times New Roman" w:eastAsia="Times New Roman" w:hAnsi="Times New Roman"/>
          <w:sz w:val="20"/>
          <w:szCs w:val="20"/>
          <w:u w:val="single" w:color="auto"/>
          <w:color w:val="auto"/>
        </w:rPr>
        <w:t>Transaction</w:t>
      </w:r>
      <w:r>
        <w:rPr>
          <w:rFonts w:ascii="Times New Roman" w:cs="Times New Roman" w:eastAsia="Times New Roman" w:hAnsi="Times New Roman"/>
          <w:sz w:val="20"/>
          <w:szCs w:val="20"/>
          <w:color w:val="auto"/>
        </w:rPr>
        <w:t>.” The Company may enter into one or more subscription agreements (the “</w:t>
      </w:r>
      <w:r>
        <w:rPr>
          <w:rFonts w:ascii="Times New Roman" w:cs="Times New Roman" w:eastAsia="Times New Roman" w:hAnsi="Times New Roman"/>
          <w:sz w:val="20"/>
          <w:szCs w:val="20"/>
          <w:u w:val="single" w:color="auto"/>
          <w:color w:val="auto"/>
        </w:rPr>
        <w:t>Other Subscription Agreements</w:t>
      </w:r>
      <w:r>
        <w:rPr>
          <w:rFonts w:ascii="Times New Roman" w:cs="Times New Roman" w:eastAsia="Times New Roman" w:hAnsi="Times New Roman"/>
          <w:sz w:val="20"/>
          <w:szCs w:val="20"/>
          <w:color w:val="auto"/>
          <w:highlight w:val="white"/>
        </w:rPr>
        <w:t>” and together with this Subscription Agreement,</w:t>
      </w:r>
      <w:r>
        <w:rPr>
          <w:rFonts w:ascii="Times New Roman" w:cs="Times New Roman" w:eastAsia="Times New Roman" w:hAnsi="Times New Roman"/>
          <w:sz w:val="20"/>
          <w:szCs w:val="20"/>
          <w:color w:val="auto"/>
        </w:rPr>
        <w:t xml:space="preserve"> the “</w:t>
      </w:r>
      <w:r>
        <w:rPr>
          <w:rFonts w:ascii="Times New Roman" w:cs="Times New Roman" w:eastAsia="Times New Roman" w:hAnsi="Times New Roman"/>
          <w:sz w:val="20"/>
          <w:szCs w:val="20"/>
          <w:u w:val="single" w:color="auto"/>
          <w:color w:val="auto"/>
        </w:rPr>
        <w:t>Subscription Agreements</w:t>
      </w:r>
      <w:r>
        <w:rPr>
          <w:rFonts w:ascii="Times New Roman" w:cs="Times New Roman" w:eastAsia="Times New Roman" w:hAnsi="Times New Roman"/>
          <w:sz w:val="20"/>
          <w:szCs w:val="20"/>
          <w:color w:val="auto"/>
        </w:rPr>
        <w:t>”) with certain other investors (the “</w:t>
      </w:r>
      <w:r>
        <w:rPr>
          <w:rFonts w:ascii="Times New Roman" w:cs="Times New Roman" w:eastAsia="Times New Roman" w:hAnsi="Times New Roman"/>
          <w:sz w:val="20"/>
          <w:szCs w:val="20"/>
          <w:u w:val="single" w:color="auto"/>
          <w:color w:val="auto"/>
        </w:rPr>
        <w:t>Other Investors</w:t>
      </w:r>
      <w:r>
        <w:rPr>
          <w:rFonts w:ascii="Times New Roman" w:cs="Times New Roman" w:eastAsia="Times New Roman" w:hAnsi="Times New Roman"/>
          <w:sz w:val="20"/>
          <w:szCs w:val="20"/>
          <w:color w:val="auto"/>
        </w:rPr>
        <w:t>,” and together with the Investor, the “</w:t>
      </w:r>
      <w:r>
        <w:rPr>
          <w:rFonts w:ascii="Times New Roman" w:cs="Times New Roman" w:eastAsia="Times New Roman" w:hAnsi="Times New Roman"/>
          <w:sz w:val="20"/>
          <w:szCs w:val="20"/>
          <w:u w:val="single" w:color="auto"/>
          <w:color w:val="auto"/>
        </w:rPr>
        <w:t>Investors</w:t>
      </w:r>
      <w:r>
        <w:rPr>
          <w:rFonts w:ascii="Times New Roman" w:cs="Times New Roman" w:eastAsia="Times New Roman" w:hAnsi="Times New Roman"/>
          <w:sz w:val="20"/>
          <w:szCs w:val="20"/>
          <w:color w:val="auto"/>
          <w:highlight w:val="white"/>
        </w:rPr>
        <w:t>”). As set</w:t>
      </w:r>
      <w:r>
        <w:rPr>
          <w:rFonts w:ascii="Times New Roman" w:cs="Times New Roman" w:eastAsia="Times New Roman" w:hAnsi="Times New Roman"/>
          <w:sz w:val="20"/>
          <w:szCs w:val="20"/>
          <w:color w:val="auto"/>
        </w:rPr>
        <w:t xml:space="preserve"> forth on the signature page to this Subscription Agreement, the aggregate purchase price to be paid by the Investor for the subscribed Common Stock (as defined below) and Warrant (as defined below) is referred to in this Subscription Agreement as the “</w:t>
      </w:r>
      <w:r>
        <w:rPr>
          <w:rFonts w:ascii="Times New Roman" w:cs="Times New Roman" w:eastAsia="Times New Roman" w:hAnsi="Times New Roman"/>
          <w:sz w:val="20"/>
          <w:szCs w:val="20"/>
          <w:u w:val="single" w:color="auto"/>
          <w:color w:val="auto"/>
        </w:rPr>
        <w:t>Subscription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Amount</w:t>
      </w:r>
      <w:r>
        <w:rPr>
          <w:rFonts w:ascii="Times New Roman" w:cs="Times New Roman" w:eastAsia="Times New Roman" w:hAnsi="Times New Roman"/>
          <w:sz w:val="20"/>
          <w:szCs w:val="20"/>
          <w:color w:val="auto"/>
          <w:highlight w:val="white"/>
        </w:rPr>
        <w:t>.”</w:t>
      </w:r>
    </w:p>
    <w:p>
      <w:pPr>
        <w:spacing w:after="0" w:line="209"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0"/>
          <w:szCs w:val="20"/>
          <w:color w:val="auto"/>
        </w:rPr>
        <w:t>In consideration of the foregoing and the mutual representations, warranties and covenants, and subject to the conditions, set forth in this Subscription Agreement, and intending to be legally bound under this Subscription Agreement, each of the Investor and the Company acknowledges and agrees as follows:</w:t>
      </w:r>
    </w:p>
    <w:p>
      <w:pPr>
        <w:spacing w:after="0" w:line="161" w:lineRule="exact"/>
        <w:rPr>
          <w:sz w:val="20"/>
          <w:szCs w:val="20"/>
          <w:color w:val="auto"/>
        </w:rPr>
      </w:pPr>
    </w:p>
    <w:p>
      <w:pPr>
        <w:jc w:val="both"/>
        <w:ind w:firstLine="656"/>
        <w:spacing w:after="0" w:line="258" w:lineRule="auto"/>
        <w:tabs>
          <w:tab w:leader="none" w:pos="1296"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Subscription</w:t>
      </w:r>
      <w:r>
        <w:rPr>
          <w:rFonts w:ascii="Times New Roman" w:cs="Times New Roman" w:eastAsia="Times New Roman" w:hAnsi="Times New Roman"/>
          <w:sz w:val="20"/>
          <w:szCs w:val="20"/>
          <w:color w:val="auto"/>
        </w:rPr>
        <w:t>. The Investor irrevocably subscribes for and agrees to purchase from the Company (i) the number of shares of Common Stock set forth on the signature page to this Subscription Agreement (the “</w:t>
      </w:r>
      <w:r>
        <w:rPr>
          <w:rFonts w:ascii="Times New Roman" w:cs="Times New Roman" w:eastAsia="Times New Roman" w:hAnsi="Times New Roman"/>
          <w:sz w:val="20"/>
          <w:szCs w:val="20"/>
          <w:u w:val="single" w:color="auto"/>
          <w:color w:val="auto"/>
        </w:rPr>
        <w:t>Shares</w:t>
      </w:r>
      <w:r>
        <w:rPr>
          <w:rFonts w:ascii="Times New Roman" w:cs="Times New Roman" w:eastAsia="Times New Roman" w:hAnsi="Times New Roman"/>
          <w:sz w:val="20"/>
          <w:szCs w:val="20"/>
          <w:color w:val="auto"/>
        </w:rPr>
        <w:t>”) and (ii) a Warrant, and the Company irrevocably agrees to issue and sell to the Investor such Shares and such Warrant, in each case, on the terms and subject to the conditions provided for in this Subscription Agreement.</w:t>
      </w:r>
    </w:p>
    <w:p>
      <w:pPr>
        <w:spacing w:after="0" w:line="185"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Closing</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firstLine="1304"/>
        <w:spacing w:after="0" w:line="258" w:lineRule="auto"/>
        <w:tabs>
          <w:tab w:leader="none" w:pos="1933" w:val="left"/>
        </w:tabs>
        <w:numPr>
          <w:ilvl w:val="1"/>
          <w:numId w:val="2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closing of the Transaction (the “</w:t>
      </w:r>
      <w:r>
        <w:rPr>
          <w:rFonts w:ascii="Times New Roman" w:cs="Times New Roman" w:eastAsia="Times New Roman" w:hAnsi="Times New Roman"/>
          <w:sz w:val="20"/>
          <w:szCs w:val="20"/>
          <w:u w:val="single" w:color="auto"/>
          <w:color w:val="auto"/>
        </w:rPr>
        <w:t>Closing</w:t>
      </w:r>
      <w:r>
        <w:rPr>
          <w:rFonts w:ascii="Times New Roman" w:cs="Times New Roman" w:eastAsia="Times New Roman" w:hAnsi="Times New Roman"/>
          <w:sz w:val="20"/>
          <w:szCs w:val="20"/>
          <w:color w:val="auto"/>
        </w:rPr>
        <w:t xml:space="preserve">”) shall take place remotely on May 8, 2026, or such other date as is mutually agreed upon, orally or in writing, between the parties hereto so long as such date occurs prior to the Outside Date (as defined below), subject to the satisfaction or waiver of the conditions set forth in this </w:t>
      </w:r>
      <w:r>
        <w:rPr>
          <w:rFonts w:ascii="Times New Roman" w:cs="Times New Roman" w:eastAsia="Times New Roman" w:hAnsi="Times New Roman"/>
          <w:sz w:val="20"/>
          <w:szCs w:val="20"/>
          <w:u w:val="single" w:color="auto"/>
          <w:color w:val="auto"/>
        </w:rPr>
        <w:t>Section 2</w:t>
      </w:r>
      <w:r>
        <w:rPr>
          <w:rFonts w:ascii="Times New Roman" w:cs="Times New Roman" w:eastAsia="Times New Roman" w:hAnsi="Times New Roman"/>
          <w:sz w:val="20"/>
          <w:szCs w:val="20"/>
          <w:color w:val="auto"/>
        </w:rPr>
        <w:t xml:space="preserve"> and in </w:t>
      </w:r>
      <w:r>
        <w:rPr>
          <w:rFonts w:ascii="Times New Roman" w:cs="Times New Roman" w:eastAsia="Times New Roman" w:hAnsi="Times New Roman"/>
          <w:sz w:val="20"/>
          <w:szCs w:val="20"/>
          <w:u w:val="single" w:color="auto"/>
          <w:color w:val="auto"/>
        </w:rPr>
        <w:t>Section 3</w:t>
      </w:r>
      <w:r>
        <w:rPr>
          <w:rFonts w:ascii="Times New Roman" w:cs="Times New Roman" w:eastAsia="Times New Roman" w:hAnsi="Times New Roman"/>
          <w:sz w:val="20"/>
          <w:szCs w:val="20"/>
          <w:color w:val="auto"/>
        </w:rPr>
        <w:t xml:space="preserve"> below. The date on which the Closing occurs is herein referred to as the “</w:t>
      </w:r>
      <w:r>
        <w:rPr>
          <w:rFonts w:ascii="Times New Roman" w:cs="Times New Roman" w:eastAsia="Times New Roman" w:hAnsi="Times New Roman"/>
          <w:sz w:val="20"/>
          <w:szCs w:val="20"/>
          <w:u w:val="single" w:color="auto"/>
          <w:color w:val="auto"/>
        </w:rPr>
        <w:t>Closing Date</w:t>
      </w:r>
      <w:r>
        <w:rPr>
          <w:rFonts w:ascii="Times New Roman" w:cs="Times New Roman" w:eastAsia="Times New Roman" w:hAnsi="Times New Roman"/>
          <w:sz w:val="20"/>
          <w:szCs w:val="20"/>
          <w:color w:val="auto"/>
        </w:rPr>
        <w:t>”.</w:t>
      </w:r>
    </w:p>
    <w:p>
      <w:pPr>
        <w:spacing w:after="0" w:line="172" w:lineRule="exact"/>
        <w:rPr>
          <w:rFonts w:ascii="Times New Roman" w:cs="Times New Roman" w:eastAsia="Times New Roman" w:hAnsi="Times New Roman"/>
          <w:sz w:val="20"/>
          <w:szCs w:val="20"/>
          <w:color w:val="010000"/>
        </w:rPr>
      </w:pPr>
    </w:p>
    <w:p>
      <w:pPr>
        <w:jc w:val="both"/>
        <w:ind w:firstLine="1304"/>
        <w:spacing w:after="0" w:line="257" w:lineRule="auto"/>
        <w:tabs>
          <w:tab w:leader="none" w:pos="1944" w:val="left"/>
        </w:tabs>
        <w:numPr>
          <w:ilvl w:val="1"/>
          <w:numId w:val="2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On or before the Closing Date, the Investor shall deliver to the Company: (i) the Subscription Amount by wire transfer of United States dollars in immediately available funds to the account(s) specified by the Company to be held in escrow until the Closing; and (ii) any other information that is reasonably requested by the Company in order for the Company to issue the Shares and Warrant. Without limiting the generality of the foregoing, such information shall include the legal name of the person in whose name such Shares and the Warrant are to be issued and a duly executed Internal Revenue Service Form W-9 or W-8, as applicable.</w:t>
      </w:r>
    </w:p>
    <w:p>
      <w:pPr>
        <w:spacing w:after="0" w:line="172" w:lineRule="exact"/>
        <w:rPr>
          <w:rFonts w:ascii="Times New Roman" w:cs="Times New Roman" w:eastAsia="Times New Roman" w:hAnsi="Times New Roman"/>
          <w:sz w:val="20"/>
          <w:szCs w:val="20"/>
          <w:color w:val="010000"/>
        </w:rPr>
      </w:pPr>
    </w:p>
    <w:p>
      <w:pPr>
        <w:jc w:val="both"/>
        <w:ind w:firstLine="1304"/>
        <w:spacing w:after="0" w:line="253" w:lineRule="auto"/>
        <w:tabs>
          <w:tab w:leader="none" w:pos="1933" w:val="left"/>
        </w:tabs>
        <w:numPr>
          <w:ilvl w:val="1"/>
          <w:numId w:val="2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On the Closing Date, the Company shall: (i) issue to the Investor the Shares; and (ii) issue to the Investor a Warrant registered in the name of the Investor to purchase up to a number of shares of Common Stock equal to 100% of the number of Shares purchased by the Investor hereunder, rounded down to the nearest whole share, subject to adjustment as set forth therein. Subsequently, the Company shall cause the Shares to be registered in book entry form, free and clear of any liens, encumbrances or other restrictions (other than those arising under this Subscription Agreement or applicable securities laws), in the name of the Investor on the Company’s share register. The Company shall use commercially reasonable efforts to provide a copy of the records of the Company’s transfer</w:t>
      </w:r>
    </w:p>
    <w:p>
      <w:pPr>
        <w:sectPr>
          <w:pgSz w:w="11900" w:h="16838" w:orient="portrait"/>
          <w:cols w:equalWidth="0" w:num="1">
            <w:col w:w="11240"/>
          </w:cols>
          <w:pgMar w:left="320" w:top="114"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20"/>
          <w:szCs w:val="20"/>
          <w:color w:val="auto"/>
        </w:rPr>
        <w:t>agent showing the Investor (or its nominee or custodian) as the owner of the Shares on and as of the Closing Date.</w:t>
      </w:r>
    </w:p>
    <w:p>
      <w:pPr>
        <w:spacing w:after="0" w:line="229" w:lineRule="exact"/>
        <w:rPr>
          <w:sz w:val="20"/>
          <w:szCs w:val="20"/>
          <w:color w:val="auto"/>
        </w:rPr>
      </w:pPr>
    </w:p>
    <w:p>
      <w:pPr>
        <w:jc w:val="both"/>
        <w:ind w:firstLine="1304"/>
        <w:spacing w:after="0" w:line="253" w:lineRule="auto"/>
        <w:tabs>
          <w:tab w:leader="none" w:pos="1944" w:val="left"/>
        </w:tabs>
        <w:numPr>
          <w:ilvl w:val="1"/>
          <w:numId w:val="2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Notwithstanding the foregoing, the Company’s obligation to issue the Shares and the Warrant to the Investor is contingent upon the Company having received the Subscription Amount in full accordance with this </w:t>
      </w:r>
      <w:r>
        <w:rPr>
          <w:rFonts w:ascii="Times New Roman" w:cs="Times New Roman" w:eastAsia="Times New Roman" w:hAnsi="Times New Roman"/>
          <w:sz w:val="20"/>
          <w:szCs w:val="20"/>
          <w:u w:val="single" w:color="auto"/>
          <w:color w:val="auto"/>
        </w:rPr>
        <w:t>Section 2</w:t>
      </w:r>
      <w:r>
        <w:rPr>
          <w:rFonts w:ascii="Times New Roman" w:cs="Times New Roman" w:eastAsia="Times New Roman" w:hAnsi="Times New Roman"/>
          <w:sz w:val="20"/>
          <w:szCs w:val="20"/>
          <w:color w:val="auto"/>
        </w:rPr>
        <w:t>. If the Closing does not occur within three (3) business days following the Closing Date, the Company shall promptly (but not later than one (1) business day thereafter) return the Subscription Amount in full to the Investor by wire transfer of U.S. dollars in immediately available funds to the account specified by the Investor.</w:t>
      </w:r>
    </w:p>
    <w:p>
      <w:pPr>
        <w:spacing w:after="0" w:line="191" w:lineRule="exact"/>
        <w:rPr>
          <w:rFonts w:ascii="Times New Roman" w:cs="Times New Roman" w:eastAsia="Times New Roman" w:hAnsi="Times New Roman"/>
          <w:sz w:val="20"/>
          <w:szCs w:val="20"/>
          <w:color w:val="010000"/>
        </w:rPr>
      </w:pPr>
    </w:p>
    <w:p>
      <w:pPr>
        <w:ind w:left="1300" w:hanging="644"/>
        <w:spacing w:after="0"/>
        <w:tabs>
          <w:tab w:leader="none" w:pos="130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Closing Conditions</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1"/>
          <w:numId w:val="2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parties’ obligation to consummate the Transaction pursuant to this Subscription Agreement is subject to the</w:t>
      </w:r>
    </w:p>
    <w:p>
      <w:pPr>
        <w:spacing w:after="0" w:line="28" w:lineRule="exact"/>
        <w:rPr>
          <w:rFonts w:ascii="Times New Roman" w:cs="Times New Roman" w:eastAsia="Times New Roman" w:hAnsi="Times New Roman"/>
          <w:sz w:val="20"/>
          <w:szCs w:val="20"/>
          <w:color w:val="010000"/>
        </w:rPr>
      </w:pPr>
    </w:p>
    <w:p>
      <w:pPr>
        <w:spacing w:after="0"/>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following conditions:</w:t>
      </w:r>
    </w:p>
    <w:p>
      <w:pPr>
        <w:spacing w:after="0" w:line="200" w:lineRule="exact"/>
        <w:rPr>
          <w:rFonts w:ascii="Times New Roman" w:cs="Times New Roman" w:eastAsia="Times New Roman" w:hAnsi="Times New Roman"/>
          <w:sz w:val="20"/>
          <w:szCs w:val="20"/>
          <w:color w:val="010000"/>
        </w:rPr>
      </w:pPr>
    </w:p>
    <w:p>
      <w:pPr>
        <w:ind w:left="1300" w:firstLine="652"/>
        <w:spacing w:after="0" w:line="283" w:lineRule="auto"/>
        <w:tabs>
          <w:tab w:leader="none" w:pos="2594" w:val="left"/>
        </w:tabs>
        <w:numPr>
          <w:ilvl w:val="2"/>
          <w:numId w:val="2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No suspension of the offering or sale of the Shares shall have been initiated or, to the Company’s knowledge, threatened by the U.S. Securities and Exchange Commission (the “</w:t>
      </w:r>
      <w:r>
        <w:rPr>
          <w:rFonts w:ascii="Times New Roman" w:cs="Times New Roman" w:eastAsia="Times New Roman" w:hAnsi="Times New Roman"/>
          <w:sz w:val="20"/>
          <w:szCs w:val="20"/>
          <w:u w:val="single" w:color="auto"/>
          <w:color w:val="auto"/>
        </w:rPr>
        <w:t>SEC</w:t>
      </w:r>
      <w:r>
        <w:rPr>
          <w:rFonts w:ascii="Times New Roman" w:cs="Times New Roman" w:eastAsia="Times New Roman" w:hAnsi="Times New Roman"/>
          <w:sz w:val="20"/>
          <w:szCs w:val="20"/>
          <w:color w:val="auto"/>
        </w:rPr>
        <w:t>”); and</w:t>
      </w:r>
    </w:p>
    <w:p>
      <w:pPr>
        <w:spacing w:after="0" w:line="159" w:lineRule="exact"/>
        <w:rPr>
          <w:rFonts w:ascii="Times New Roman" w:cs="Times New Roman" w:eastAsia="Times New Roman" w:hAnsi="Times New Roman"/>
          <w:sz w:val="20"/>
          <w:szCs w:val="20"/>
          <w:color w:val="010000"/>
        </w:rPr>
      </w:pPr>
    </w:p>
    <w:p>
      <w:pPr>
        <w:jc w:val="both"/>
        <w:ind w:left="1300" w:firstLine="652"/>
        <w:spacing w:after="0" w:line="253" w:lineRule="auto"/>
        <w:tabs>
          <w:tab w:leader="none" w:pos="2595" w:val="left"/>
        </w:tabs>
        <w:numPr>
          <w:ilvl w:val="2"/>
          <w:numId w:val="2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no applicable governmental authority shall have enacted, issued, promulgated, enforced or entered any judgment, order, law, rule or regulation (whether temporary, preliminary or permanent) which is then in effect making the consummation of the transactions contemplated under this Subscription Agreement illegal or otherwise restraining or prohibiting consummation of the transactions contemplated under this Subscription Agreement and no governmental authority shall have instituted or threatened in writing a proceeding seeking to impose any such restraint or prohibition.</w:t>
      </w:r>
    </w:p>
    <w:p>
      <w:pPr>
        <w:spacing w:after="0" w:line="191" w:lineRule="exact"/>
        <w:rPr>
          <w:rFonts w:ascii="Times New Roman" w:cs="Times New Roman" w:eastAsia="Times New Roman" w:hAnsi="Times New Roman"/>
          <w:sz w:val="20"/>
          <w:szCs w:val="20"/>
          <w:color w:val="010000"/>
        </w:rPr>
      </w:pPr>
    </w:p>
    <w:p>
      <w:pPr>
        <w:jc w:val="both"/>
        <w:ind w:firstLine="1304"/>
        <w:spacing w:after="0" w:line="251" w:lineRule="auto"/>
        <w:tabs>
          <w:tab w:leader="none" w:pos="1944" w:val="left"/>
        </w:tabs>
        <w:numPr>
          <w:ilvl w:val="1"/>
          <w:numId w:val="2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Company’s obligation to consummate the Transaction pursuant to this Subscription Agreement shall be subject to the conditions that: (i) all representations and warranties of the Investor contained in this Subscription Agreement are true and correct in all material respects at and as of the Closing Date (other than representations and warranties that are qualified as to materiality, which representations and warranties shall be true in all respects) except for the representations and warranties made only as of a specific date, which shall be made as of such date and (ii) all obligations, covenants and agreements of the Investor required to be performed by it at or prior to the Closing Date shall have been performed in all material respects.</w:t>
      </w:r>
    </w:p>
    <w:p>
      <w:pPr>
        <w:spacing w:after="0" w:line="190" w:lineRule="exact"/>
        <w:rPr>
          <w:rFonts w:ascii="Times New Roman" w:cs="Times New Roman" w:eastAsia="Times New Roman" w:hAnsi="Times New Roman"/>
          <w:sz w:val="20"/>
          <w:szCs w:val="20"/>
          <w:color w:val="010000"/>
        </w:rPr>
      </w:pPr>
    </w:p>
    <w:p>
      <w:pPr>
        <w:ind w:left="1940" w:hanging="636"/>
        <w:spacing w:after="0"/>
        <w:tabs>
          <w:tab w:leader="none" w:pos="1940" w:val="left"/>
        </w:tabs>
        <w:numPr>
          <w:ilvl w:val="1"/>
          <w:numId w:val="29"/>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The Investor’s obligation to consummate the Transaction pursuant to this Subscription Agreement shall be subject to</w:t>
      </w:r>
    </w:p>
    <w:p>
      <w:pPr>
        <w:spacing w:after="0" w:line="39" w:lineRule="exact"/>
        <w:rPr>
          <w:rFonts w:ascii="Times New Roman" w:cs="Times New Roman" w:eastAsia="Times New Roman" w:hAnsi="Times New Roman"/>
          <w:sz w:val="19"/>
          <w:szCs w:val="19"/>
          <w:color w:val="010000"/>
        </w:rPr>
      </w:pPr>
    </w:p>
    <w:p>
      <w:pPr>
        <w:spacing w:after="0"/>
        <w:rPr>
          <w:rFonts w:ascii="Times New Roman" w:cs="Times New Roman" w:eastAsia="Times New Roman" w:hAnsi="Times New Roman"/>
          <w:sz w:val="19"/>
          <w:szCs w:val="19"/>
          <w:color w:val="010000"/>
        </w:rPr>
      </w:pPr>
      <w:r>
        <w:rPr>
          <w:rFonts w:ascii="Times New Roman" w:cs="Times New Roman" w:eastAsia="Times New Roman" w:hAnsi="Times New Roman"/>
          <w:sz w:val="20"/>
          <w:szCs w:val="20"/>
          <w:color w:val="auto"/>
        </w:rPr>
        <w:t>the conditions that:</w:t>
      </w:r>
    </w:p>
    <w:p>
      <w:pPr>
        <w:spacing w:after="0" w:line="200" w:lineRule="exact"/>
        <w:rPr>
          <w:rFonts w:ascii="Times New Roman" w:cs="Times New Roman" w:eastAsia="Times New Roman" w:hAnsi="Times New Roman"/>
          <w:sz w:val="19"/>
          <w:szCs w:val="19"/>
          <w:color w:val="010000"/>
        </w:rPr>
      </w:pPr>
    </w:p>
    <w:p>
      <w:pPr>
        <w:jc w:val="both"/>
        <w:ind w:left="1300" w:firstLine="652"/>
        <w:spacing w:after="0" w:line="276" w:lineRule="auto"/>
        <w:tabs>
          <w:tab w:leader="none" w:pos="2594" w:val="left"/>
        </w:tabs>
        <w:numPr>
          <w:ilvl w:val="2"/>
          <w:numId w:val="29"/>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all representations and warranties of the Company contained in this Subscription Agreement shall be true and correct in all material respects (other than representations and warranties that are qualified as to materiality or Material Adverse Effect (as defined below), which representations and warranties shall be true in all respects) at and as of the Closing Date except for the representations and warranties made only as of a specific date, which shall be made as of such date;</w:t>
      </w:r>
    </w:p>
    <w:p>
      <w:pPr>
        <w:spacing w:after="0" w:line="169" w:lineRule="exact"/>
        <w:rPr>
          <w:rFonts w:ascii="Times New Roman" w:cs="Times New Roman" w:eastAsia="Times New Roman" w:hAnsi="Times New Roman"/>
          <w:sz w:val="19"/>
          <w:szCs w:val="19"/>
          <w:color w:val="010000"/>
        </w:rPr>
      </w:pPr>
    </w:p>
    <w:p>
      <w:pPr>
        <w:jc w:val="both"/>
        <w:ind w:left="1300" w:firstLine="652"/>
        <w:spacing w:after="0" w:line="261" w:lineRule="auto"/>
        <w:tabs>
          <w:tab w:leader="none" w:pos="2595" w:val="left"/>
        </w:tabs>
        <w:numPr>
          <w:ilvl w:val="2"/>
          <w:numId w:val="2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all obligations, conditions, covenants and agreements of the Company required by this Subscription Agreement to be performed by it at or prior to the Closing Date shall have been performed, satisfied or complied with in all material respects;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1413" w:right="339" w:bottom="1440" w:gutter="0" w:footer="0" w:header="0"/>
        </w:sectPr>
      </w:pPr>
    </w:p>
    <w:bookmarkStart w:id="24" w:name="page25"/>
    <w:bookmarkEnd w:id="24"/>
    <w:p>
      <w:pPr>
        <w:jc w:val="both"/>
        <w:ind w:left="1300" w:firstLine="652"/>
        <w:spacing w:after="0" w:line="251" w:lineRule="auto"/>
        <w:tabs>
          <w:tab w:leader="none" w:pos="2596" w:val="left"/>
        </w:tabs>
        <w:numPr>
          <w:ilvl w:val="2"/>
          <w:numId w:val="3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from the date hereof to the Closing Date, trading in the Common Stock shall not have been suspended by the SEC or the Company’s principal Trading Market, and, at any time prior to the Closing Date, trading in securities generally as reported by Bloomberg L.P. shall not have been suspended or limited, or minimum prices shall not have been established on securities whose trades are reported by such service, or on any Trading Market, nor shall a banking moratorium have been declared either by the United States or New York State authorities nor shall there have occurred any material outbreak or escalation of hostilities or other national or international calamity of such magnitude in its effect on, or any material adverse change in, any financial market which, in each case, in the reasonable judgment of the Investor, makes it impracticable or inadvisable to purchase the Securities at the Closing;</w:t>
      </w:r>
    </w:p>
    <w:p>
      <w:pPr>
        <w:spacing w:after="0" w:line="195" w:lineRule="exact"/>
        <w:rPr>
          <w:rFonts w:ascii="Times New Roman" w:cs="Times New Roman" w:eastAsia="Times New Roman" w:hAnsi="Times New Roman"/>
          <w:sz w:val="20"/>
          <w:szCs w:val="20"/>
          <w:color w:val="010000"/>
        </w:rPr>
      </w:pPr>
    </w:p>
    <w:p>
      <w:pPr>
        <w:ind w:left="1300" w:firstLine="652"/>
        <w:spacing w:after="0" w:line="269" w:lineRule="auto"/>
        <w:tabs>
          <w:tab w:leader="none" w:pos="2585" w:val="left"/>
        </w:tabs>
        <w:numPr>
          <w:ilvl w:val="2"/>
          <w:numId w:val="3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Company shall have filed with The Nasdaq Stock Market LLC (“</w:t>
      </w:r>
      <w:r>
        <w:rPr>
          <w:rFonts w:ascii="Times New Roman" w:cs="Times New Roman" w:eastAsia="Times New Roman" w:hAnsi="Times New Roman"/>
          <w:sz w:val="20"/>
          <w:szCs w:val="20"/>
          <w:u w:val="single" w:color="auto"/>
          <w:color w:val="auto"/>
        </w:rPr>
        <w:t>Nasdaq</w:t>
      </w:r>
      <w:r>
        <w:rPr>
          <w:rFonts w:ascii="Times New Roman" w:cs="Times New Roman" w:eastAsia="Times New Roman" w:hAnsi="Times New Roman"/>
          <w:sz w:val="20"/>
          <w:szCs w:val="20"/>
          <w:color w:val="auto"/>
        </w:rPr>
        <w:t>”) an application or supplemental listing application for the listing of the Shares and Warrant Shares (as defined below);</w:t>
      </w:r>
    </w:p>
    <w:p>
      <w:pPr>
        <w:spacing w:after="0" w:line="172" w:lineRule="exact"/>
        <w:rPr>
          <w:rFonts w:ascii="Times New Roman" w:cs="Times New Roman" w:eastAsia="Times New Roman" w:hAnsi="Times New Roman"/>
          <w:sz w:val="20"/>
          <w:szCs w:val="20"/>
          <w:color w:val="010000"/>
        </w:rPr>
      </w:pPr>
    </w:p>
    <w:p>
      <w:pPr>
        <w:ind w:left="1300" w:firstLine="652"/>
        <w:spacing w:after="0" w:line="283" w:lineRule="auto"/>
        <w:tabs>
          <w:tab w:leader="none" w:pos="2584" w:val="left"/>
        </w:tabs>
        <w:numPr>
          <w:ilvl w:val="2"/>
          <w:numId w:val="3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there shall have been no amendment, waiver or modification to the Other Subscription Agreements that gives rise to material economic benefits to the Other Investors unless the Investor has been offered the same benefits; and</w:t>
      </w:r>
    </w:p>
    <w:p>
      <w:pPr>
        <w:spacing w:after="0" w:line="146" w:lineRule="exact"/>
        <w:rPr>
          <w:rFonts w:ascii="Times New Roman" w:cs="Times New Roman" w:eastAsia="Times New Roman" w:hAnsi="Times New Roman"/>
          <w:sz w:val="20"/>
          <w:szCs w:val="20"/>
          <w:color w:val="010000"/>
        </w:rPr>
      </w:pPr>
    </w:p>
    <w:p>
      <w:pPr>
        <w:ind w:left="2580" w:hanging="628"/>
        <w:spacing w:after="0"/>
        <w:tabs>
          <w:tab w:leader="none" w:pos="2580" w:val="left"/>
        </w:tabs>
        <w:numPr>
          <w:ilvl w:val="2"/>
          <w:numId w:val="3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there shall have been no Material Adverse Effect with respect to the Company since the date hereof.</w:t>
      </w:r>
    </w:p>
    <w:p>
      <w:pPr>
        <w:spacing w:after="0" w:line="229" w:lineRule="exact"/>
        <w:rPr>
          <w:rFonts w:ascii="Times New Roman" w:cs="Times New Roman" w:eastAsia="Times New Roman" w:hAnsi="Times New Roman"/>
          <w:sz w:val="20"/>
          <w:szCs w:val="20"/>
          <w:color w:val="010000"/>
        </w:rPr>
      </w:pPr>
    </w:p>
    <w:p>
      <w:pPr>
        <w:jc w:val="both"/>
        <w:ind w:firstLine="656"/>
        <w:spacing w:after="0" w:line="261" w:lineRule="auto"/>
        <w:tabs>
          <w:tab w:leader="none" w:pos="1296"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Further Assurances</w:t>
      </w:r>
      <w:r>
        <w:rPr>
          <w:rFonts w:ascii="Times New Roman" w:cs="Times New Roman" w:eastAsia="Times New Roman" w:hAnsi="Times New Roman"/>
          <w:sz w:val="20"/>
          <w:szCs w:val="20"/>
          <w:color w:val="auto"/>
        </w:rPr>
        <w:t>. At or prior to the Closing Date, the parties shall execute and deliver, or cause to be executed and delivered, such additional documents and take such additional actions as the parties reasonably may deem to be practical and necessary in order to consummate the Transaction as contemplated by this Subscription Agreement.</w:t>
      </w:r>
    </w:p>
    <w:p>
      <w:pPr>
        <w:spacing w:after="0" w:line="181" w:lineRule="exact"/>
        <w:rPr>
          <w:rFonts w:ascii="Times New Roman" w:cs="Times New Roman" w:eastAsia="Times New Roman" w:hAnsi="Times New Roman"/>
          <w:sz w:val="20"/>
          <w:szCs w:val="20"/>
          <w:color w:val="auto"/>
        </w:rPr>
      </w:pPr>
    </w:p>
    <w:p>
      <w:pPr>
        <w:jc w:val="both"/>
        <w:ind w:firstLine="656"/>
        <w:spacing w:after="0" w:line="254" w:lineRule="auto"/>
        <w:tabs>
          <w:tab w:leader="none" w:pos="1296"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Company Representations and Warranties</w:t>
      </w:r>
      <w:r>
        <w:rPr>
          <w:rFonts w:ascii="Times New Roman" w:cs="Times New Roman" w:eastAsia="Times New Roman" w:hAnsi="Times New Roman"/>
          <w:sz w:val="20"/>
          <w:szCs w:val="20"/>
          <w:color w:val="auto"/>
        </w:rPr>
        <w:t>. The Company represents and warrants to the Investor and the Placement Agents that as of the date of this Subscription Agreement and in all material respects (other than representations and warranties that are qualified as to materiality, which representations and warranties shall be true in all respects) as of the Closing Date except for the representations and warranties made only as of a specific date, which shall be made as of such date:</w:t>
      </w:r>
    </w:p>
    <w:p>
      <w:pPr>
        <w:spacing w:after="0" w:line="187" w:lineRule="exact"/>
        <w:rPr>
          <w:rFonts w:ascii="Times New Roman" w:cs="Times New Roman" w:eastAsia="Times New Roman" w:hAnsi="Times New Roman"/>
          <w:sz w:val="20"/>
          <w:szCs w:val="20"/>
          <w:color w:val="auto"/>
        </w:rPr>
      </w:pPr>
    </w:p>
    <w:p>
      <w:pPr>
        <w:jc w:val="both"/>
        <w:ind w:firstLine="1304"/>
        <w:spacing w:after="0" w:line="258" w:lineRule="auto"/>
        <w:tabs>
          <w:tab w:leader="none" w:pos="1933" w:val="left"/>
        </w:tabs>
        <w:numPr>
          <w:ilvl w:val="1"/>
          <w:numId w:val="3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Company is a Delaware corporation duly incorporated, validly existing and in good standing under the laws of the State of Delaware. The Company has all (corporate or otherwise) power and authority to own, lease and operate its properties and conduct its business as presently conducted and to enter into, deliver and perform its obligations under this Subscription Agreement, the Warrant, and the Other Subscription Agreements (collectively, the “</w:t>
      </w:r>
      <w:r>
        <w:rPr>
          <w:rFonts w:ascii="Times New Roman" w:cs="Times New Roman" w:eastAsia="Times New Roman" w:hAnsi="Times New Roman"/>
          <w:sz w:val="20"/>
          <w:szCs w:val="20"/>
          <w:u w:val="single" w:color="auto"/>
          <w:color w:val="auto"/>
        </w:rPr>
        <w:t>Transaction Documents</w:t>
      </w:r>
      <w:r>
        <w:rPr>
          <w:rFonts w:ascii="Times New Roman" w:cs="Times New Roman" w:eastAsia="Times New Roman" w:hAnsi="Times New Roman"/>
          <w:sz w:val="20"/>
          <w:szCs w:val="20"/>
          <w:color w:val="auto"/>
        </w:rPr>
        <w:t>”).</w:t>
      </w:r>
    </w:p>
    <w:p>
      <w:pPr>
        <w:spacing w:after="0" w:line="172" w:lineRule="exact"/>
        <w:rPr>
          <w:rFonts w:ascii="Times New Roman" w:cs="Times New Roman" w:eastAsia="Times New Roman" w:hAnsi="Times New Roman"/>
          <w:sz w:val="20"/>
          <w:szCs w:val="20"/>
          <w:color w:val="010000"/>
        </w:rPr>
      </w:pPr>
    </w:p>
    <w:p>
      <w:pPr>
        <w:jc w:val="both"/>
        <w:ind w:firstLine="1304"/>
        <w:spacing w:after="0" w:line="257" w:lineRule="auto"/>
        <w:tabs>
          <w:tab w:leader="none" w:pos="1944" w:val="left"/>
        </w:tabs>
        <w:numPr>
          <w:ilvl w:val="1"/>
          <w:numId w:val="3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As of the Closing Date, the Shares and the Warrant Shares will be duly authorized and, when issued and delivered to the Investor against full payment for such Shares and Warrant Shares in accordance with the terms of this Subscription Agreement and the Warrant, as applicable, will be validly issued, fully paid and non-assessable and will not have been issued in violation of or subject to any preemptive or similar rights created under the Company’s certificate of incorporation or under the General Corporation Law of the State of Delaware.</w:t>
      </w:r>
    </w:p>
    <w:p>
      <w:pPr>
        <w:spacing w:after="0" w:line="172" w:lineRule="exact"/>
        <w:rPr>
          <w:rFonts w:ascii="Times New Roman" w:cs="Times New Roman" w:eastAsia="Times New Roman" w:hAnsi="Times New Roman"/>
          <w:sz w:val="20"/>
          <w:szCs w:val="20"/>
          <w:color w:val="010000"/>
        </w:rPr>
      </w:pPr>
    </w:p>
    <w:p>
      <w:pPr>
        <w:ind w:right="20" w:firstLine="1304"/>
        <w:spacing w:after="0" w:line="283" w:lineRule="auto"/>
        <w:tabs>
          <w:tab w:leader="none" w:pos="1933" w:val="left"/>
        </w:tabs>
        <w:numPr>
          <w:ilvl w:val="1"/>
          <w:numId w:val="3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As of the Closing Date, the Warrant Shares issuable upon exercise of the Warrant have been duly authorized and reserved for issuance upon exercise of the Warrant.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1413" w:right="339" w:bottom="1440" w:gutter="0" w:footer="0" w:header="0"/>
        </w:sectPr>
      </w:pPr>
    </w:p>
    <w:bookmarkStart w:id="25" w:name="page26"/>
    <w:bookmarkEnd w:id="25"/>
    <w:p>
      <w:pPr>
        <w:jc w:val="both"/>
        <w:ind w:firstLine="1304"/>
        <w:spacing w:after="0" w:line="269" w:lineRule="auto"/>
        <w:tabs>
          <w:tab w:leader="none" w:pos="1944" w:val="left"/>
        </w:tabs>
        <w:numPr>
          <w:ilvl w:val="0"/>
          <w:numId w:val="32"/>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This Subscription Agreement has been duly authorized and has been duly executed and delivered by the Company. As of the Closing Date, the other Transaction Documents will have been duly authorized, executed and delivered by the Company. Assuming that (i) this Subscription Agreement constitutes the valid and binding agreement of the Investor and (ii) each other Transaction Document constitutes the valid and binding agreement of each other party thereto, this Subscription Agreement and the other Transaction Documents constitute the valid and binding agreement of the Company and are enforceable against the Company in accordance with their terms, except, in each case, as may be limited or otherwise affected by (i) bankruptcy, insolvency, fraudulent conveyance, reorganization, moratorium or other laws relating to or affecting the rights of creditors generally, or (ii) principles of equity, whether considered at law or equity.</w:t>
      </w:r>
    </w:p>
    <w:p>
      <w:pPr>
        <w:spacing w:after="0" w:line="162" w:lineRule="exact"/>
        <w:rPr>
          <w:rFonts w:ascii="Times New Roman" w:cs="Times New Roman" w:eastAsia="Times New Roman" w:hAnsi="Times New Roman"/>
          <w:sz w:val="19"/>
          <w:szCs w:val="19"/>
          <w:color w:val="010000"/>
        </w:rPr>
      </w:pPr>
    </w:p>
    <w:p>
      <w:pPr>
        <w:jc w:val="both"/>
        <w:ind w:firstLine="1304"/>
        <w:spacing w:after="0" w:line="250" w:lineRule="auto"/>
        <w:tabs>
          <w:tab w:leader="none" w:pos="1933" w:val="left"/>
        </w:tabs>
        <w:numPr>
          <w:ilvl w:val="0"/>
          <w:numId w:val="3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execution, delivery and performance of the Transaction Documents and the issuance and sale of the Securities and the compliance by the Company with all provisions of the Transaction Documents and the consummation of the transactions contemplated in the Transaction Documents will not conflict with or result in a breach or violation of any of the terms or provisions of, or constitute a default under, or result in the creation or imposition of any lien, charge or encumbrance upon any of the property or assets of the Company or any of its subsidiaries pursuant to the terms of: (i) any indenture, mortgage, deed of trust, loan agreement, lease, license or other agreement or instrument to which the Company or any of its subsidiaries is a party or by which the Company or any of its subsidiaries is bound or to which any of the property or assets of the Company is subject that would reasonably be expected to have a material adverse effect on the business, financial condition or results of operations of the Company and its subsidiaries, taken as a whole or on the validity of the Securities or the ability or legal authority of the Company to timely comply in all material respects with the terms of the Transaction Documents, including the issuance of the Securities (a “</w:t>
      </w:r>
      <w:r>
        <w:rPr>
          <w:rFonts w:ascii="Times New Roman" w:cs="Times New Roman" w:eastAsia="Times New Roman" w:hAnsi="Times New Roman"/>
          <w:sz w:val="20"/>
          <w:szCs w:val="20"/>
          <w:u w:val="single" w:color="auto"/>
          <w:color w:val="auto"/>
        </w:rPr>
        <w:t>Material Adverse Effect</w:t>
      </w:r>
      <w:r>
        <w:rPr>
          <w:rFonts w:ascii="Times New Roman" w:cs="Times New Roman" w:eastAsia="Times New Roman" w:hAnsi="Times New Roman"/>
          <w:sz w:val="20"/>
          <w:szCs w:val="20"/>
          <w:color w:val="auto"/>
        </w:rPr>
        <w:t>”); (ii) result in any violation of the provisions of the organizational documents of the Company; or (iii) result in any violation of any statute or any judgment, order, rule or regulation of any court or governmental agency or body, domestic or foreign, having jurisdiction over the Company or any of its properties that would reasonably be expected to have a Material Adverse Effect.</w:t>
      </w:r>
    </w:p>
    <w:p>
      <w:pPr>
        <w:spacing w:after="0" w:line="193" w:lineRule="exact"/>
        <w:rPr>
          <w:rFonts w:ascii="Times New Roman" w:cs="Times New Roman" w:eastAsia="Times New Roman" w:hAnsi="Times New Roman"/>
          <w:sz w:val="20"/>
          <w:szCs w:val="20"/>
          <w:color w:val="010000"/>
        </w:rPr>
      </w:pPr>
    </w:p>
    <w:p>
      <w:pPr>
        <w:jc w:val="both"/>
        <w:ind w:firstLine="1304"/>
        <w:spacing w:after="0" w:line="250" w:lineRule="auto"/>
        <w:tabs>
          <w:tab w:leader="none" w:pos="1938" w:val="left"/>
        </w:tabs>
        <w:numPr>
          <w:ilvl w:val="0"/>
          <w:numId w:val="3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Except as would not have a Material Adverse Effect, the Company has timely made all filings, forms, reports, statements, schedules, prospectuses, registration statements and other documents required to be filed by the Company with the SEC since September 24, 2025 (the “</w:t>
      </w:r>
      <w:r>
        <w:rPr>
          <w:rFonts w:ascii="Times New Roman" w:cs="Times New Roman" w:eastAsia="Times New Roman" w:hAnsi="Times New Roman"/>
          <w:sz w:val="20"/>
          <w:szCs w:val="20"/>
          <w:u w:val="single" w:color="auto"/>
          <w:color w:val="auto"/>
        </w:rPr>
        <w:t>SEC Reports</w:t>
      </w:r>
      <w:r>
        <w:rPr>
          <w:rFonts w:ascii="Times New Roman" w:cs="Times New Roman" w:eastAsia="Times New Roman" w:hAnsi="Times New Roman"/>
          <w:sz w:val="20"/>
          <w:szCs w:val="20"/>
          <w:color w:val="auto"/>
        </w:rPr>
        <w:t>”). As of their respective dates, all SEC Reports required to be filed by the Company with the SEC complied in all material respects with the applicable requirements of the Securities Act of 1933, as amended (the “</w:t>
      </w:r>
      <w:r>
        <w:rPr>
          <w:rFonts w:ascii="Times New Roman" w:cs="Times New Roman" w:eastAsia="Times New Roman" w:hAnsi="Times New Roman"/>
          <w:sz w:val="20"/>
          <w:szCs w:val="20"/>
          <w:u w:val="single" w:color="auto"/>
          <w:color w:val="auto"/>
        </w:rPr>
        <w:t>Securities Act</w:t>
      </w:r>
      <w:r>
        <w:rPr>
          <w:rFonts w:ascii="Times New Roman" w:cs="Times New Roman" w:eastAsia="Times New Roman" w:hAnsi="Times New Roman"/>
          <w:sz w:val="20"/>
          <w:szCs w:val="20"/>
          <w:color w:val="auto"/>
        </w:rPr>
        <w:t>”), and the Securities Exchange Act of 1934, as amended (the “</w:t>
      </w:r>
      <w:r>
        <w:rPr>
          <w:rFonts w:ascii="Times New Roman" w:cs="Times New Roman" w:eastAsia="Times New Roman" w:hAnsi="Times New Roman"/>
          <w:sz w:val="20"/>
          <w:szCs w:val="20"/>
          <w:u w:val="single" w:color="auto"/>
          <w:color w:val="auto"/>
        </w:rPr>
        <w:t>Exchange Act</w:t>
      </w:r>
      <w:r>
        <w:rPr>
          <w:rFonts w:ascii="Times New Roman" w:cs="Times New Roman" w:eastAsia="Times New Roman" w:hAnsi="Times New Roman"/>
          <w:sz w:val="20"/>
          <w:szCs w:val="20"/>
          <w:color w:val="auto"/>
        </w:rPr>
        <w:t>”), and the rules and regulations of the SEC promulgated thereunder. When filed, none of the SEC Reports contained any untrue statement of a material fact or omitted to state a material fact required to be stated therein or necessary in order to make the statements therein, in the light of the circumstances under which they were made, not misleading. The financial statements of the Company included in the SEC Reports comply in all material respects with applicable accounting requirements and the rules and regulations of the SEC with respect to such financial statements as in effect at the time of filing and fairly present in all material respects the financial condition of the Company as of and for the dates thereof and the results of operations and cash flows for the periods then ended, subject, in the case of unaudited statements, to normal, year-end audit adjustments. A copy of each SEC Report is available to the Investor via the SEC’s EDGAR system. There are no outstanding or unresolved comments in comment letters received by the Company from the staff of the Division of Corporation Finance of the SEC with respect to any of the SEC Reports.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1413" w:right="339" w:bottom="1440" w:gutter="0" w:footer="0" w:header="0"/>
        </w:sectPr>
      </w:pPr>
    </w:p>
    <w:bookmarkStart w:id="26" w:name="page27"/>
    <w:bookmarkEnd w:id="26"/>
    <w:p>
      <w:pPr>
        <w:jc w:val="both"/>
        <w:ind w:firstLine="1304"/>
        <w:spacing w:after="0" w:line="253" w:lineRule="auto"/>
        <w:tabs>
          <w:tab w:leader="none" w:pos="1944" w:val="left"/>
        </w:tabs>
        <w:numPr>
          <w:ilvl w:val="0"/>
          <w:numId w:val="3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Assuming the accuracy of the Investor’s representations and warranties set forth in </w:t>
      </w:r>
      <w:r>
        <w:rPr>
          <w:rFonts w:ascii="Times New Roman" w:cs="Times New Roman" w:eastAsia="Times New Roman" w:hAnsi="Times New Roman"/>
          <w:sz w:val="20"/>
          <w:szCs w:val="20"/>
          <w:u w:val="single" w:color="auto"/>
          <w:color w:val="auto"/>
        </w:rPr>
        <w:t>Section 6</w:t>
      </w:r>
      <w:r>
        <w:rPr>
          <w:rFonts w:ascii="Times New Roman" w:cs="Times New Roman" w:eastAsia="Times New Roman" w:hAnsi="Times New Roman"/>
          <w:sz w:val="20"/>
          <w:szCs w:val="20"/>
          <w:color w:val="auto"/>
        </w:rPr>
        <w:t>, no registration under the Securities Act is required for the offer and sale of the Securities by the Company to the Investor. The Securities: (i) were not offered by any form of general solicitation or general advertising, including under any circumstances that would adversely affect reliance by the Company on Section 4(a)(2) of the Securities Act for the exemption from registration for the Transaction or would require registration of the Securities under the Securities Act; and (ii) are not being offered in a manner involving a public offering under, or in a distribution in violation of, the Securities Act, or any state securities laws.</w:t>
      </w:r>
    </w:p>
    <w:p>
      <w:pPr>
        <w:spacing w:after="0" w:line="192" w:lineRule="exact"/>
        <w:rPr>
          <w:rFonts w:ascii="Times New Roman" w:cs="Times New Roman" w:eastAsia="Times New Roman" w:hAnsi="Times New Roman"/>
          <w:sz w:val="20"/>
          <w:szCs w:val="20"/>
          <w:color w:val="010000"/>
        </w:rPr>
      </w:pPr>
    </w:p>
    <w:p>
      <w:pPr>
        <w:jc w:val="both"/>
        <w:ind w:firstLine="1304"/>
        <w:spacing w:after="0" w:line="253" w:lineRule="auto"/>
        <w:tabs>
          <w:tab w:leader="none" w:pos="1997" w:val="left"/>
        </w:tabs>
        <w:numPr>
          <w:ilvl w:val="0"/>
          <w:numId w:val="3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As of the date of this Subscription Agreement, the issued and outstanding Common Stock are registered pursuant to Section 12(b) of the Exchange Act and are listed for trading on Nasdaq under the symbol “KDK.” Except as disclosed in the Company’s filings with the SEC, as of the date of this Subscription Agreement, there is no suit, action, proceeding or investigation pending or, to the knowledge of the Company, threatened against the Company by Nasdaq or the SEC to prohibit or terminate the listing of the Company’s Common Stock under the Exchange Act. The Company has taken no action that is designed to, or would reasonably be expected to result in, termination of the registration of the Common Stock under the Exchange Act.</w:t>
      </w:r>
    </w:p>
    <w:p>
      <w:pPr>
        <w:spacing w:after="0" w:line="178" w:lineRule="exact"/>
        <w:rPr>
          <w:rFonts w:ascii="Times New Roman" w:cs="Times New Roman" w:eastAsia="Times New Roman" w:hAnsi="Times New Roman"/>
          <w:sz w:val="20"/>
          <w:szCs w:val="20"/>
          <w:color w:val="010000"/>
        </w:rPr>
      </w:pPr>
    </w:p>
    <w:p>
      <w:pPr>
        <w:jc w:val="both"/>
        <w:ind w:firstLine="1304"/>
        <w:spacing w:after="0" w:line="250" w:lineRule="auto"/>
        <w:tabs>
          <w:tab w:leader="none" w:pos="1940" w:val="left"/>
        </w:tabs>
        <w:numPr>
          <w:ilvl w:val="0"/>
          <w:numId w:val="3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As of the date of this Subscription Agreement, the Company has not entered into any side letter or similar agreement with any Other Investor or any other investor in connection with such Other Investor’s or other investor’s direct or indirect investment in the Company other than the Other Subscription Agreements. No side letter or similar agreement or Other Subscription Agreement with any Other Investor contains economic terms more favorable to such Other Investor than those set forth in this Subscription Agreement. The Other Subscription Agreements have not been amended in any material respect following the date of this Subscription Agreement. For the avoidance of doubt, the following shall not be considered more favorable terms than those under this Subscription Agreement: any adjustment to the Company’s 9.99% Series A Cumulative Convertible Preferred Stock or warrants to purchase Common Stock (to the extent such warrants were issued pursuant to those certain Subscription Agreements dated September 15, 2025 or those certain Non-Redemption Agreements dated September 24, 2025, each by and between and the Company and the Investor party thereto) that may be held by any Other Investor resulting from the waiver of certain of such Other Investor’s anti-dilution rights in connection with the Transaction. Commercial arrangements are not covered by this Section 5(i).</w:t>
      </w:r>
    </w:p>
    <w:p>
      <w:pPr>
        <w:spacing w:after="0" w:line="199" w:lineRule="exact"/>
        <w:rPr>
          <w:rFonts w:ascii="Times New Roman" w:cs="Times New Roman" w:eastAsia="Times New Roman" w:hAnsi="Times New Roman"/>
          <w:sz w:val="20"/>
          <w:szCs w:val="20"/>
          <w:color w:val="010000"/>
        </w:rPr>
      </w:pPr>
    </w:p>
    <w:p>
      <w:pPr>
        <w:jc w:val="both"/>
        <w:ind w:firstLine="1304"/>
        <w:spacing w:after="0" w:line="251" w:lineRule="auto"/>
        <w:tabs>
          <w:tab w:leader="none" w:pos="1940" w:val="left"/>
        </w:tabs>
        <w:numPr>
          <w:ilvl w:val="0"/>
          <w:numId w:val="3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Company is not required to obtain any consent, waiver, authorization or order of, give any notice to, or make any filing or registration with, any court or other federal, state, local or other governmental authority, self-regulatory organization or other person in connection with the execution, delivery and performance by the Company of this Subscription Agreement (including, without limitation, the issuance of the Securities pursuant to this Subscription Agreement), other than (i) filings with the SEC, (ii) filings required by applicable state securities laws, (iii) filings required by Nasdaq and (iv) the failure of which to obtain would not be reasonably likely to have, individually or in the aggregate, a Material Adverse Effect. The Company is in compliance with all applicable laws and rules of Nasdaq except as would not be reasonably likely to have, individually or in the aggregate, a Material Adverse Effect.</w:t>
      </w:r>
    </w:p>
    <w:p>
      <w:pPr>
        <w:spacing w:after="0" w:line="192" w:lineRule="exact"/>
        <w:rPr>
          <w:rFonts w:ascii="Times New Roman" w:cs="Times New Roman" w:eastAsia="Times New Roman" w:hAnsi="Times New Roman"/>
          <w:sz w:val="20"/>
          <w:szCs w:val="20"/>
          <w:color w:val="010000"/>
        </w:rPr>
      </w:pPr>
    </w:p>
    <w:p>
      <w:pPr>
        <w:jc w:val="both"/>
        <w:ind w:firstLine="1304"/>
        <w:spacing w:after="0" w:line="258" w:lineRule="auto"/>
        <w:tabs>
          <w:tab w:leader="none" w:pos="1944" w:val="left"/>
        </w:tabs>
        <w:numPr>
          <w:ilvl w:val="0"/>
          <w:numId w:val="3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As of the date of this Subscription Agreement, the authorized capital stock of the Company consists of 2,000,000,000 shares, of which 1,980,000,000 shares are Common Stock, $0.0001 par value per share (the “</w:t>
      </w:r>
      <w:r>
        <w:rPr>
          <w:rFonts w:ascii="Times New Roman" w:cs="Times New Roman" w:eastAsia="Times New Roman" w:hAnsi="Times New Roman"/>
          <w:sz w:val="20"/>
          <w:szCs w:val="20"/>
          <w:u w:val="single" w:color="auto"/>
          <w:color w:val="auto"/>
        </w:rPr>
        <w:t>Common Stock</w:t>
      </w:r>
      <w:r>
        <w:rPr>
          <w:rFonts w:ascii="Times New Roman" w:cs="Times New Roman" w:eastAsia="Times New Roman" w:hAnsi="Times New Roman"/>
          <w:sz w:val="20"/>
          <w:szCs w:val="20"/>
          <w:color w:val="auto"/>
        </w:rPr>
        <w:t>”), and 20,000,000 shares are Preferred Stock, $0.0001 par value per share. As of March 31, 2026: (i) 142,155 shares of Preferred Stock were issued and outstanding; (ii) 183,727,054 shares of Common Stock were issued and outstanding; and (iii) warrants to purchase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1413" w:right="339" w:bottom="1440" w:gutter="0" w:footer="0" w:header="0"/>
        </w:sectPr>
      </w:pPr>
    </w:p>
    <w:bookmarkStart w:id="27" w:name="page28"/>
    <w:bookmarkEnd w:id="27"/>
    <w:p>
      <w:pPr>
        <w:jc w:val="both"/>
        <w:spacing w:after="0" w:line="250" w:lineRule="auto"/>
        <w:rPr>
          <w:sz w:val="20"/>
          <w:szCs w:val="20"/>
          <w:color w:val="auto"/>
        </w:rPr>
      </w:pPr>
      <w:r>
        <w:rPr>
          <w:rFonts w:ascii="Times New Roman" w:cs="Times New Roman" w:eastAsia="Times New Roman" w:hAnsi="Times New Roman"/>
          <w:sz w:val="20"/>
          <w:szCs w:val="20"/>
          <w:color w:val="auto"/>
        </w:rPr>
        <w:t>64,838,943 shares of Common Stock were issued and outstanding (each such existing warrant, a “</w:t>
      </w:r>
      <w:r>
        <w:rPr>
          <w:rFonts w:ascii="Times New Roman" w:cs="Times New Roman" w:eastAsia="Times New Roman" w:hAnsi="Times New Roman"/>
          <w:sz w:val="20"/>
          <w:szCs w:val="20"/>
          <w:u w:val="single" w:color="auto"/>
          <w:color w:val="auto"/>
        </w:rPr>
        <w:t>Kodiak Warrant</w:t>
      </w:r>
      <w:r>
        <w:rPr>
          <w:rFonts w:ascii="Times New Roman" w:cs="Times New Roman" w:eastAsia="Times New Roman" w:hAnsi="Times New Roman"/>
          <w:sz w:val="20"/>
          <w:szCs w:val="20"/>
          <w:color w:val="auto"/>
        </w:rPr>
        <w:t>”). Except as disclosed in the Company’s SEC Reports or other filings, there are no outstanding contractual obligations of the Company to repurchase, redeem or otherwise acquire any equity securities or capital equity of the Company. As of the date of this Subscription Agreement, except as set forth above and pursuant to the Other Subscription Agreements, there are no outstanding options, warrants or other rights to subscribe for, purchase or acquire from the Company any equity securities of or other equity interests in the Company (collectively, “</w:t>
      </w:r>
      <w:r>
        <w:rPr>
          <w:rFonts w:ascii="Times New Roman" w:cs="Times New Roman" w:eastAsia="Times New Roman" w:hAnsi="Times New Roman"/>
          <w:sz w:val="20"/>
          <w:szCs w:val="20"/>
          <w:u w:val="single" w:color="auto"/>
          <w:color w:val="auto"/>
        </w:rPr>
        <w:t>Equity Interests</w:t>
      </w:r>
      <w:r>
        <w:rPr>
          <w:rFonts w:ascii="Times New Roman" w:cs="Times New Roman" w:eastAsia="Times New Roman" w:hAnsi="Times New Roman"/>
          <w:sz w:val="20"/>
          <w:szCs w:val="20"/>
          <w:color w:val="auto"/>
        </w:rPr>
        <w:t>”) or securities convertible into or exchangeable or exercisable for Equity Interests. There are no stockholder agreements, voting trusts or other agreements or understandings to which the Company is a party or by which it is bound relating to the voting of any Equity Interests, other than as contemplated by the agreements publicly filed with the SEC. Except for the anti-dilution provisions as set forth in certain of the Kodiak Warrants and in the Certificate of Designation for the Preferred Stock, there are no securities or instruments issued by or to which the Company is a party containing anti-dilution or similar provisions that will be triggered by the issuance of: (i) the Securities pursuant to this Subscription Agreement; or (ii) the Securities to be issued pursuant to any Other Subscription Agreement.</w:t>
      </w:r>
    </w:p>
    <w:p>
      <w:pPr>
        <w:spacing w:after="0" w:line="200" w:lineRule="exact"/>
        <w:rPr>
          <w:sz w:val="20"/>
          <w:szCs w:val="20"/>
          <w:color w:val="auto"/>
        </w:rPr>
      </w:pPr>
    </w:p>
    <w:p>
      <w:pPr>
        <w:jc w:val="both"/>
        <w:ind w:firstLine="1304"/>
        <w:spacing w:after="0" w:line="254" w:lineRule="auto"/>
        <w:tabs>
          <w:tab w:leader="none" w:pos="1940" w:val="left"/>
        </w:tabs>
        <w:numPr>
          <w:ilvl w:val="0"/>
          <w:numId w:val="34"/>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As of the date this Subscription Agreement, except as would not reasonably be expected to have a Material Adverse Effect, there is no (i) action, suit, claim or other proceeding, in each case by or before any governmental authority pending, or, to the knowledge of the Company, threatened against the Company or (ii) judgment, decree, injunction, ruling or order of any governmental entity or arbitrator outstanding against the Company.</w:t>
      </w:r>
    </w:p>
    <w:p>
      <w:pPr>
        <w:spacing w:after="0" w:line="187" w:lineRule="exact"/>
        <w:rPr>
          <w:rFonts w:ascii="Times New Roman" w:cs="Times New Roman" w:eastAsia="Times New Roman" w:hAnsi="Times New Roman"/>
          <w:sz w:val="20"/>
          <w:szCs w:val="20"/>
          <w:color w:val="010000"/>
        </w:rPr>
      </w:pPr>
    </w:p>
    <w:p>
      <w:pPr>
        <w:jc w:val="both"/>
        <w:ind w:firstLine="1304"/>
        <w:spacing w:after="0" w:line="258" w:lineRule="auto"/>
        <w:tabs>
          <w:tab w:leader="none" w:pos="1931" w:val="left"/>
        </w:tabs>
        <w:numPr>
          <w:ilvl w:val="0"/>
          <w:numId w:val="34"/>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Company is in compliance with all applicable law, except where such noncompliance would not reasonably be expected to have a Material Adverse Effect. As of the date of this Subscription Agreement, the Company has not received any written communication from a governmental authority that alleges that the Company is not in compliance with or is in default or violation of any applicable law except where such noncompliance, default or violation would not reasonably be expected to have a Material Adverse Effect.</w:t>
      </w:r>
    </w:p>
    <w:p>
      <w:pPr>
        <w:spacing w:after="0" w:line="172" w:lineRule="exact"/>
        <w:rPr>
          <w:rFonts w:ascii="Times New Roman" w:cs="Times New Roman" w:eastAsia="Times New Roman" w:hAnsi="Times New Roman"/>
          <w:sz w:val="20"/>
          <w:szCs w:val="20"/>
          <w:color w:val="010000"/>
        </w:rPr>
      </w:pPr>
    </w:p>
    <w:p>
      <w:pPr>
        <w:jc w:val="both"/>
        <w:ind w:firstLine="1304"/>
        <w:spacing w:after="0" w:line="258" w:lineRule="auto"/>
        <w:tabs>
          <w:tab w:leader="none" w:pos="1944" w:val="left"/>
        </w:tabs>
        <w:numPr>
          <w:ilvl w:val="0"/>
          <w:numId w:val="34"/>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Company has not paid, and is not under any obligation to pay, any broker’s fee or commission in connection with the sale of the Securities pursuant to this Subscription Agreement other than to the Placement Agents (as defined below). Other than the Placement Agents, the Company is not aware of any person that has been paid (directly or indirectly) remuneration for solicitation of purchasers in connection with the sale of any Securities in connection with the Subscription Agreements.</w:t>
      </w:r>
    </w:p>
    <w:p>
      <w:pPr>
        <w:spacing w:after="0" w:line="185" w:lineRule="exact"/>
        <w:rPr>
          <w:rFonts w:ascii="Times New Roman" w:cs="Times New Roman" w:eastAsia="Times New Roman" w:hAnsi="Times New Roman"/>
          <w:sz w:val="20"/>
          <w:szCs w:val="20"/>
          <w:color w:val="010000"/>
        </w:rPr>
      </w:pPr>
    </w:p>
    <w:p>
      <w:pPr>
        <w:ind w:firstLine="1304"/>
        <w:spacing w:after="0" w:line="269" w:lineRule="auto"/>
        <w:tabs>
          <w:tab w:leader="none" w:pos="1944" w:val="left"/>
        </w:tabs>
        <w:numPr>
          <w:ilvl w:val="0"/>
          <w:numId w:val="34"/>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Company is not, and immediately after receipt of payment for the Securities will not be, required to register as an “investment company” within the meaning of the Investment Company Act of 1940, as amended.</w:t>
      </w:r>
    </w:p>
    <w:p>
      <w:pPr>
        <w:spacing w:after="0" w:line="172" w:lineRule="exact"/>
        <w:rPr>
          <w:rFonts w:ascii="Times New Roman" w:cs="Times New Roman" w:eastAsia="Times New Roman" w:hAnsi="Times New Roman"/>
          <w:sz w:val="20"/>
          <w:szCs w:val="20"/>
          <w:color w:val="010000"/>
        </w:rPr>
      </w:pPr>
    </w:p>
    <w:p>
      <w:pPr>
        <w:jc w:val="both"/>
        <w:ind w:firstLine="1304"/>
        <w:spacing w:after="0" w:line="261" w:lineRule="auto"/>
        <w:tabs>
          <w:tab w:leader="none" w:pos="1944" w:val="left"/>
        </w:tabs>
        <w:numPr>
          <w:ilvl w:val="0"/>
          <w:numId w:val="34"/>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Company is not, and has not been during the applicable period specified in Section 897(c)(1)(A)(ii) of the Internal Revenue Code of 1986, as amended (the “</w:t>
      </w:r>
      <w:r>
        <w:rPr>
          <w:rFonts w:ascii="Times New Roman" w:cs="Times New Roman" w:eastAsia="Times New Roman" w:hAnsi="Times New Roman"/>
          <w:sz w:val="20"/>
          <w:szCs w:val="20"/>
          <w:u w:val="single" w:color="auto"/>
          <w:color w:val="auto"/>
        </w:rPr>
        <w:t>Code</w:t>
      </w:r>
      <w:r>
        <w:rPr>
          <w:rFonts w:ascii="Times New Roman" w:cs="Times New Roman" w:eastAsia="Times New Roman" w:hAnsi="Times New Roman"/>
          <w:sz w:val="20"/>
          <w:szCs w:val="20"/>
          <w:color w:val="auto"/>
        </w:rPr>
        <w:t>”), a “United States real property holding corporation” within the meaning of Section 897(c)(2) of the Code.</w:t>
      </w:r>
    </w:p>
    <w:p>
      <w:pPr>
        <w:spacing w:after="0" w:line="181" w:lineRule="exact"/>
        <w:rPr>
          <w:rFonts w:ascii="Times New Roman" w:cs="Times New Roman" w:eastAsia="Times New Roman" w:hAnsi="Times New Roman"/>
          <w:sz w:val="20"/>
          <w:szCs w:val="20"/>
          <w:color w:val="010000"/>
        </w:rPr>
      </w:pPr>
    </w:p>
    <w:p>
      <w:pPr>
        <w:jc w:val="both"/>
        <w:ind w:firstLine="1304"/>
        <w:spacing w:after="0" w:line="261" w:lineRule="auto"/>
        <w:tabs>
          <w:tab w:leader="none" w:pos="1944" w:val="left"/>
        </w:tabs>
        <w:numPr>
          <w:ilvl w:val="0"/>
          <w:numId w:val="34"/>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Company has not, directly or indirectly, sold, offered for sale, solicited offers to buy or otherwise negotiated in respect of, any security (as defined in the Securities Act) which, to its knowledge, would reasonably be expected to be integrated with the Securities sold pursuant to this Subscription Agreement for purposes of the Securities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40"/>
          </w:cols>
          <w:pgMar w:left="320" w:top="1413" w:right="339" w:bottom="1440" w:gutter="0" w:footer="0" w:header="0"/>
        </w:sectPr>
      </w:pPr>
    </w:p>
    <w:bookmarkStart w:id="28" w:name="page29"/>
    <w:bookmarkEnd w:id="28"/>
    <w:p>
      <w:pPr>
        <w:jc w:val="both"/>
        <w:ind w:firstLine="1304"/>
        <w:spacing w:after="0" w:line="270" w:lineRule="auto"/>
        <w:tabs>
          <w:tab w:leader="none" w:pos="1927" w:val="left"/>
        </w:tabs>
        <w:numPr>
          <w:ilvl w:val="0"/>
          <w:numId w:val="35"/>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The Company and its subsidiaries have good and marketable title to all personal property owned by it that is material to the business of the Company, free and clear of all liens, encumbrances and defects except such as do not materially affect the value of such property and do not interfere with the use made and proposed to be made of such property by the Company. Any real property and buildings held under lease by the Company or its subsidiaries are held under valid, subsisting and enforceable leases with such exceptions as are not material and do not interfere with the use made and proposed to be made of such property and buildings by the Company or its subsidiaries.</w:t>
      </w:r>
    </w:p>
    <w:p>
      <w:pPr>
        <w:spacing w:after="0" w:line="175" w:lineRule="exact"/>
        <w:rPr>
          <w:rFonts w:ascii="Times New Roman" w:cs="Times New Roman" w:eastAsia="Times New Roman" w:hAnsi="Times New Roman"/>
          <w:sz w:val="19"/>
          <w:szCs w:val="19"/>
          <w:color w:val="010000"/>
        </w:rPr>
      </w:pPr>
    </w:p>
    <w:p>
      <w:pPr>
        <w:ind w:firstLine="1304"/>
        <w:spacing w:after="0" w:line="283" w:lineRule="auto"/>
        <w:tabs>
          <w:tab w:leader="none" w:pos="1935" w:val="left"/>
        </w:tabs>
        <w:numPr>
          <w:ilvl w:val="0"/>
          <w:numId w:val="3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Company is in compliance in all material respects with applicable requirements of the Sarbanes-Oxley Act of 2002 and applicable rules and regulations promulgated by the SEC thereunder.</w:t>
      </w:r>
    </w:p>
    <w:p>
      <w:pPr>
        <w:spacing w:after="0" w:line="146" w:lineRule="exact"/>
        <w:rPr>
          <w:rFonts w:ascii="Times New Roman" w:cs="Times New Roman" w:eastAsia="Times New Roman" w:hAnsi="Times New Roman"/>
          <w:sz w:val="20"/>
          <w:szCs w:val="20"/>
          <w:color w:val="010000"/>
        </w:rPr>
      </w:pPr>
    </w:p>
    <w:p>
      <w:pPr>
        <w:jc w:val="both"/>
        <w:ind w:firstLine="1304"/>
        <w:spacing w:after="0" w:line="252" w:lineRule="auto"/>
        <w:tabs>
          <w:tab w:leader="none" w:pos="1940" w:val="left"/>
        </w:tabs>
        <w:numPr>
          <w:ilvl w:val="0"/>
          <w:numId w:val="3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Company maintains a system of “disclosure controls and procedures” (as defined in Rule 13a-15(e) of the Exchange Act) that has been designed to ensure that information required to be disclosed by the Company in reports that it files or submits under the Exchange Act is recorded, processed, summarized and reported within the time periods specified in the SEC’s rules and forms, including controls and procedures designed to ensure that such information is accumulated and communicated to the Company’s management as appropriate to allow timely decisions regarding required disclosure. The Company has carried out evaluations of the effectiveness of its disclosure controls and procedures as required by Rule 13a-15 of the Exchange Act. Except as disclosed in the SEC Reports, since the end of the Company’s most recent audited fiscal year, there has been no change in the Company’s internal control over financial reporting that has materially adversely affected, or is reasonably likely to materially adversely affect, the Company’s internal control over financial reporting. Except as disclosed in the SEC Reports, the Company is not aware of any material weakness in its internal controls over financial reporting.</w:t>
      </w:r>
    </w:p>
    <w:p>
      <w:pPr>
        <w:spacing w:after="0" w:line="177" w:lineRule="exact"/>
        <w:rPr>
          <w:rFonts w:ascii="Times New Roman" w:cs="Times New Roman" w:eastAsia="Times New Roman" w:hAnsi="Times New Roman"/>
          <w:sz w:val="20"/>
          <w:szCs w:val="20"/>
          <w:color w:val="010000"/>
        </w:rPr>
      </w:pPr>
    </w:p>
    <w:p>
      <w:pPr>
        <w:jc w:val="both"/>
        <w:ind w:firstLine="1304"/>
        <w:spacing w:after="0" w:line="253" w:lineRule="auto"/>
        <w:tabs>
          <w:tab w:leader="none" w:pos="1944" w:val="left"/>
        </w:tabs>
        <w:numPr>
          <w:ilvl w:val="0"/>
          <w:numId w:val="3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Company and its subsidiaries possess all certificates, authorizations and permits issued by the appropriate federal, state, local or foreign regulatory authorities necessary to conduct their business as described in the SEC Reports, except where the failure to possess such certificates, authorizations or permits would not reasonably be expected to result in a Material Adverse Effect (“</w:t>
      </w:r>
      <w:r>
        <w:rPr>
          <w:rFonts w:ascii="Times New Roman" w:cs="Times New Roman" w:eastAsia="Times New Roman" w:hAnsi="Times New Roman"/>
          <w:sz w:val="20"/>
          <w:szCs w:val="20"/>
          <w:u w:val="single" w:color="auto"/>
          <w:color w:val="auto"/>
        </w:rPr>
        <w:t>Material Permits</w:t>
      </w:r>
      <w:r>
        <w:rPr>
          <w:rFonts w:ascii="Times New Roman" w:cs="Times New Roman" w:eastAsia="Times New Roman" w:hAnsi="Times New Roman"/>
          <w:sz w:val="20"/>
          <w:szCs w:val="20"/>
          <w:color w:val="auto"/>
        </w:rPr>
        <w:t>”), and none of the Company or its subsidiaries have received any notice of proceedings relating to the revocation or modification of any Material Permit.</w:t>
      </w:r>
    </w:p>
    <w:p>
      <w:pPr>
        <w:spacing w:after="0" w:line="191" w:lineRule="exact"/>
        <w:rPr>
          <w:rFonts w:ascii="Times New Roman" w:cs="Times New Roman" w:eastAsia="Times New Roman" w:hAnsi="Times New Roman"/>
          <w:sz w:val="20"/>
          <w:szCs w:val="20"/>
          <w:color w:val="010000"/>
        </w:rPr>
      </w:pPr>
    </w:p>
    <w:p>
      <w:pPr>
        <w:jc w:val="both"/>
        <w:ind w:firstLine="1304"/>
        <w:spacing w:after="0" w:line="250" w:lineRule="auto"/>
        <w:tabs>
          <w:tab w:leader="none" w:pos="1931" w:val="left"/>
        </w:tabs>
        <w:numPr>
          <w:ilvl w:val="0"/>
          <w:numId w:val="3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Company and its subsidiaries have, or have rights to use, all patents, patent applications, trademarks, trademark applications, service marks, trade names, trade secrets, inventions, copyrights, licenses and other intellectual property rights and similar rights necessary or required for use in connection with their business as described in the SEC Reports and which the failure to so have would have a Material Adverse Effect (collectively, the “</w:t>
      </w:r>
      <w:r>
        <w:rPr>
          <w:rFonts w:ascii="Times New Roman" w:cs="Times New Roman" w:eastAsia="Times New Roman" w:hAnsi="Times New Roman"/>
          <w:sz w:val="20"/>
          <w:szCs w:val="20"/>
          <w:u w:val="single" w:color="auto"/>
          <w:color w:val="auto"/>
        </w:rPr>
        <w:t>Intellectual Property Rights</w:t>
      </w:r>
      <w:r>
        <w:rPr>
          <w:rFonts w:ascii="Times New Roman" w:cs="Times New Roman" w:eastAsia="Times New Roman" w:hAnsi="Times New Roman"/>
          <w:sz w:val="20"/>
          <w:szCs w:val="20"/>
          <w:color w:val="auto"/>
        </w:rPr>
        <w:t>”). None of the Company or its subsidiaries have received any notices (written or otherwise) that any of the Intellectual Property Rights have expired, terminated or been abandoned, or is reasonably expected to expire or terminate or be abandoned, within two (2) years from the date of this Subscription Agreement except as would not reasonably be expected to have a Material Adverse Effect. None of Company or its subsidiaries have received, since December 31, 2025, a written notice of a claim or otherwise has any knowledge that the Intellectual Property Rights violate or infringe upon the rights of any Person (as defined below), except as would not have or reasonably be expected to have a Material Adverse Effect. To the knowledge of the Company, all such Intellectual Property Rights are enforceable and there is no existing infringement by another Person of any of the Intellectual Property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40"/>
          </w:cols>
          <w:pgMar w:left="320" w:top="1413" w:right="339" w:bottom="1440" w:gutter="0" w:footer="0" w:header="0"/>
        </w:sectPr>
      </w:pPr>
    </w:p>
    <w:bookmarkStart w:id="29" w:name="page30"/>
    <w:bookmarkEnd w:id="29"/>
    <w:p>
      <w:pPr>
        <w:jc w:val="both"/>
        <w:ind w:firstLine="1304"/>
        <w:spacing w:after="0" w:line="252" w:lineRule="auto"/>
        <w:tabs>
          <w:tab w:leader="none" w:pos="1921" w:val="left"/>
        </w:tabs>
        <w:numPr>
          <w:ilvl w:val="0"/>
          <w:numId w:val="36"/>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Except as would not, individually or in the aggregate, have a Material Adverse Effect, (i) the Company and its subsidiaries are presently in compliance with all applicable laws or statutes and all judgments, orders, rules and regulations of any court or arbitrator or governmental or regulatory authority, internal policies and contractual obligations relating to the privacy and security of the Company’s information technology and computer systems, networks, hardware, software, data (including the data of its customers, employees, suppliers, vendors and any third party data maintained by or on behalf of it), equipment or technology (collectively, “</w:t>
      </w:r>
      <w:r>
        <w:rPr>
          <w:rFonts w:ascii="Times New Roman" w:cs="Times New Roman" w:eastAsia="Times New Roman" w:hAnsi="Times New Roman"/>
          <w:sz w:val="20"/>
          <w:szCs w:val="20"/>
          <w:u w:val="single" w:color="auto"/>
          <w:color w:val="auto"/>
        </w:rPr>
        <w:t>IT Systems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and Data</w:t>
      </w:r>
      <w:r>
        <w:rPr>
          <w:rFonts w:ascii="Times New Roman" w:cs="Times New Roman" w:eastAsia="Times New Roman" w:hAnsi="Times New Roman"/>
          <w:sz w:val="20"/>
          <w:szCs w:val="20"/>
          <w:color w:val="auto"/>
        </w:rPr>
        <w:t>”) and to the protection of such IT Systems and Data from unauthorized use, access, misappropriation or modification; (ii) the Company has implemented and maintained commercially reasonable safeguards to maintain and protect its material confidential information and the integrity, continuous operation, redundancy and security of all IT Systems and Data; and (iii) the Company has implemented backup and disaster recovery technology consistent with commercially reasonable industry standards and practices.</w:t>
      </w:r>
    </w:p>
    <w:p>
      <w:pPr>
        <w:spacing w:after="0" w:line="175" w:lineRule="exact"/>
        <w:rPr>
          <w:rFonts w:ascii="Times New Roman" w:cs="Times New Roman" w:eastAsia="Times New Roman" w:hAnsi="Times New Roman"/>
          <w:sz w:val="20"/>
          <w:szCs w:val="20"/>
          <w:color w:val="010000"/>
        </w:rPr>
      </w:pPr>
    </w:p>
    <w:p>
      <w:pPr>
        <w:jc w:val="both"/>
        <w:ind w:firstLine="1304"/>
        <w:spacing w:after="0" w:line="251" w:lineRule="auto"/>
        <w:tabs>
          <w:tab w:leader="none" w:pos="1944" w:val="left"/>
        </w:tabs>
        <w:numPr>
          <w:ilvl w:val="0"/>
          <w:numId w:val="36"/>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Company, its subsidiaries and, to the Company’s knowledge, all of its officers, directors, supervisors, managers, agents, or employees are and have at all times been in compliance in all material respects with and its participation in the offering will not violate: (i) anti-bribery laws, including but not limited to, any applicable law, rule, or regulation of any locality, including but not limited to any law, rule, or regulation promulgated to implement the OECD Convention on Combating Bribery of Foreign Public Officials in International Business Transactions, signed December 17, 1997, including the U.S. Foreign Corrupt Practices Act of 1977, as amended, the U.K. Bribery Act 2010, or any other law, rule or regulation of similar purposes and scope or (ii) anti-money laundering laws, including, but not limited to, applicable federal, state, international, foreign or other laws, regulations or government guidance regarding anti-money laundering, including, without limitation, Title 18 U.S. Code sections 1956 and 1957, the Patriot Act, the Bank Secrecy Act, and international anti-money laundering principles or procedures by an intergovernmental group or organization, such as the Financial Action Task Force on Money Laundering, of which the United States is a member and with which designation the United States representative to the group or organization continues to concur, all as amended, and any Executive order, directive, or regulation pursuant to the authority of any of the foregoing, or any orders or licenses issued thereunder.</w:t>
      </w:r>
    </w:p>
    <w:p>
      <w:pPr>
        <w:spacing w:after="0" w:line="178" w:lineRule="exact"/>
        <w:rPr>
          <w:rFonts w:ascii="Times New Roman" w:cs="Times New Roman" w:eastAsia="Times New Roman" w:hAnsi="Times New Roman"/>
          <w:sz w:val="20"/>
          <w:szCs w:val="20"/>
          <w:color w:val="010000"/>
        </w:rPr>
      </w:pPr>
    </w:p>
    <w:p>
      <w:pPr>
        <w:jc w:val="both"/>
        <w:ind w:firstLine="1304"/>
        <w:spacing w:after="0" w:line="257" w:lineRule="auto"/>
        <w:tabs>
          <w:tab w:leader="none" w:pos="1931" w:val="left"/>
        </w:tabs>
        <w:numPr>
          <w:ilvl w:val="0"/>
          <w:numId w:val="36"/>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Neither the Company nor its subsidiaries nor, to the Company’s knowledge, any director, officer, agent, employee or affiliate of the Company or any subsidiary is currently subject to any U.S. sanctions administered by the Office of Foreign Assets Control of the U.S. Treasury Department (“</w:t>
      </w:r>
      <w:r>
        <w:rPr>
          <w:rFonts w:ascii="Times New Roman" w:cs="Times New Roman" w:eastAsia="Times New Roman" w:hAnsi="Times New Roman"/>
          <w:sz w:val="20"/>
          <w:szCs w:val="20"/>
          <w:u w:val="single" w:color="auto"/>
          <w:color w:val="auto"/>
        </w:rPr>
        <w:t>OFAC</w:t>
      </w:r>
      <w:r>
        <w:rPr>
          <w:rFonts w:ascii="Times New Roman" w:cs="Times New Roman" w:eastAsia="Times New Roman" w:hAnsi="Times New Roman"/>
          <w:sz w:val="20"/>
          <w:szCs w:val="20"/>
          <w:color w:val="auto"/>
        </w:rPr>
        <w:t>”) and the Company will not, directly or indirectly, use the proceeds of the Transaction hereunder, or lend, contribute or otherwise make available such proceeds to any subsidiary, joint venture partner or other person or entity, for the purpose of financing the activities of any person currently subject to any U.S. sanctions administered by OFAC.</w:t>
      </w:r>
    </w:p>
    <w:p>
      <w:pPr>
        <w:spacing w:after="0" w:line="172" w:lineRule="exact"/>
        <w:rPr>
          <w:rFonts w:ascii="Times New Roman" w:cs="Times New Roman" w:eastAsia="Times New Roman" w:hAnsi="Times New Roman"/>
          <w:sz w:val="20"/>
          <w:szCs w:val="20"/>
          <w:color w:val="010000"/>
        </w:rPr>
      </w:pPr>
    </w:p>
    <w:p>
      <w:pPr>
        <w:jc w:val="both"/>
        <w:ind w:firstLine="1304"/>
        <w:spacing w:after="0" w:line="268" w:lineRule="auto"/>
        <w:tabs>
          <w:tab w:leader="none" w:pos="1933" w:val="left"/>
        </w:tabs>
        <w:numPr>
          <w:ilvl w:val="0"/>
          <w:numId w:val="36"/>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Anything in this Subscription Agreement or elsewhere herein to the contrary notwithstanding, it is understood and acknowledged by the Company that: (i) the Investor has not been asked by the Company to agree, nor has the Investor agreed, to desist from purchasing or selling, long and/or short, securities of the Company, or “derivative” securities based on securities issued by the Company or to hold the Securities for any specified term; (ii) past or future open market or other transactions by the Investor, specifically including, without limitation, Short Sales or “derivative” transactions, before or after the Closing of this transaction or future private placement transactions, may negatively impact the market price of the Company’s publicly-traded securities; (iii) the Investor, and counter-parties in “derivative” transactions to which the Investor is a party, directly or indirectly, presently may have a “short” position in the Common Stock; and (iv) the Investor shall not be deemed to have any affiliation with or control over any arm’s length counter-party in any “derivative”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40"/>
          </w:cols>
          <w:pgMar w:left="320" w:top="1413" w:right="339" w:bottom="1440" w:gutter="0" w:footer="0" w:header="0"/>
        </w:sectPr>
      </w:pPr>
    </w:p>
    <w:bookmarkStart w:id="30" w:name="page31"/>
    <w:bookmarkEnd w:id="30"/>
    <w:p>
      <w:pPr>
        <w:jc w:val="both"/>
        <w:spacing w:after="0" w:line="253" w:lineRule="auto"/>
        <w:rPr>
          <w:sz w:val="20"/>
          <w:szCs w:val="20"/>
          <w:color w:val="auto"/>
        </w:rPr>
      </w:pPr>
      <w:r>
        <w:rPr>
          <w:rFonts w:ascii="Times New Roman" w:cs="Times New Roman" w:eastAsia="Times New Roman" w:hAnsi="Times New Roman"/>
          <w:sz w:val="20"/>
          <w:szCs w:val="20"/>
          <w:color w:val="auto"/>
        </w:rPr>
        <w:t>The Company further understands and acknowledges that (y) the Investor may engage in hedging activities at various times during the period that the Securities are outstanding, including, without limitation, during the periods that the value of the Warrant Shares deliverable with respect to Securities are being determined, and (z) such hedging activities (if any) could reduce the value of the existing stockholders’ equity interests in the Company at and after the time that the hedging activities are being conducted. The Company acknowledges that such aforementioned hedging activities do not constitute a breach of any of the Transaction Documents.</w:t>
      </w:r>
    </w:p>
    <w:p>
      <w:pPr>
        <w:spacing w:after="0" w:line="192" w:lineRule="exact"/>
        <w:rPr>
          <w:sz w:val="20"/>
          <w:szCs w:val="20"/>
          <w:color w:val="auto"/>
        </w:rPr>
      </w:pPr>
    </w:p>
    <w:p>
      <w:pPr>
        <w:jc w:val="both"/>
        <w:ind w:firstLine="656"/>
        <w:spacing w:after="0" w:line="258" w:lineRule="auto"/>
        <w:tabs>
          <w:tab w:leader="none" w:pos="1296"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Investor Representations and Warranties</w:t>
      </w:r>
      <w:r>
        <w:rPr>
          <w:rFonts w:ascii="Times New Roman" w:cs="Times New Roman" w:eastAsia="Times New Roman" w:hAnsi="Times New Roman"/>
          <w:sz w:val="20"/>
          <w:szCs w:val="20"/>
          <w:color w:val="auto"/>
        </w:rPr>
        <w:t>. The Investor represents and warrants to the Company and the Placement Agents that as of the date of this Subscription Agreement and in all material respects (other than representations and warranties that are qualified as to materiality, which representations and warranties shall be true in all respects) as of the Closing Date except for the representations and warranties made only as of a specific date, which shall be made as of such date:</w:t>
      </w:r>
    </w:p>
    <w:p>
      <w:pPr>
        <w:spacing w:after="0" w:line="172" w:lineRule="exact"/>
        <w:rPr>
          <w:rFonts w:ascii="Times New Roman" w:cs="Times New Roman" w:eastAsia="Times New Roman" w:hAnsi="Times New Roman"/>
          <w:sz w:val="20"/>
          <w:szCs w:val="20"/>
          <w:color w:val="auto"/>
        </w:rPr>
      </w:pPr>
    </w:p>
    <w:p>
      <w:pPr>
        <w:jc w:val="both"/>
        <w:ind w:firstLine="1304"/>
        <w:spacing w:after="0" w:line="268" w:lineRule="auto"/>
        <w:tabs>
          <w:tab w:leader="none" w:pos="1933" w:val="left"/>
        </w:tabs>
        <w:numPr>
          <w:ilvl w:val="1"/>
          <w:numId w:val="3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Investor: (i) has been duly formed or incorporated and is validly existing and in good standing under the laws of its jurisdiction of formation or incorporation; and (ii) has the requisite power and authority to enter into and perform its obligations under this Subscription Agreement.</w:t>
      </w:r>
    </w:p>
    <w:p>
      <w:pPr>
        <w:spacing w:after="0" w:line="161" w:lineRule="exact"/>
        <w:rPr>
          <w:rFonts w:ascii="Times New Roman" w:cs="Times New Roman" w:eastAsia="Times New Roman" w:hAnsi="Times New Roman"/>
          <w:sz w:val="20"/>
          <w:szCs w:val="20"/>
          <w:color w:val="010000"/>
        </w:rPr>
      </w:pPr>
    </w:p>
    <w:p>
      <w:pPr>
        <w:jc w:val="both"/>
        <w:ind w:firstLine="1304"/>
        <w:spacing w:after="0" w:line="257" w:lineRule="auto"/>
        <w:tabs>
          <w:tab w:leader="none" w:pos="1944" w:val="left"/>
        </w:tabs>
        <w:numPr>
          <w:ilvl w:val="1"/>
          <w:numId w:val="3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This Subscription Agreement has been duly authorized, executed and delivered by the Investor. Assuming the due authorization, execution and delivery of the same by the Company, this Subscription Agreement shall constitute the valid and legally binding obligation of the Investor, enforceable against the Investor in accordance with its terms, except as such enforceability may be limited by bankruptcy, insolvency, reorganization, moratorium and similar laws affecting creditors generally and by the availability of equitable remedies.</w:t>
      </w:r>
    </w:p>
    <w:p>
      <w:pPr>
        <w:spacing w:after="0" w:line="172" w:lineRule="exact"/>
        <w:rPr>
          <w:rFonts w:ascii="Times New Roman" w:cs="Times New Roman" w:eastAsia="Times New Roman" w:hAnsi="Times New Roman"/>
          <w:sz w:val="20"/>
          <w:szCs w:val="20"/>
          <w:color w:val="010000"/>
        </w:rPr>
      </w:pPr>
    </w:p>
    <w:p>
      <w:pPr>
        <w:jc w:val="both"/>
        <w:ind w:firstLine="1304"/>
        <w:spacing w:after="0" w:line="250" w:lineRule="auto"/>
        <w:tabs>
          <w:tab w:leader="none" w:pos="1933" w:val="left"/>
        </w:tabs>
        <w:numPr>
          <w:ilvl w:val="1"/>
          <w:numId w:val="3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execution, delivery and performance of this Subscription Agreement, the purchase of the Securities, the compliance by the Investor with all of the provisions of this Subscription Agreement and the consummation of the transactions contemplated in this Subscription Agreement will not conflict with or result in a breach or violation of any of the terms or provisions of, or constitute a default under, or result in the creation or imposition of any lien, charge or encumbrance upon any of the property or assets of the Investor pursuant to the terms of: (i) any indenture, mortgage, deed of trust, loan agreement, lease, license or other agreement or instrument to which the Investor is a party or by which the Investor is bound or to which any of the property or assets of the Investor is subject; (ii) the organizational documents of the Investor; or (iii) any statute or any judgment, order, rule or regulation of any court or governmental agency or body, domestic or foreign, having jurisdiction over the Investor or any of its properties that in the case of clauses (i) and (iii), would reasonably be expected to have a material adverse effect on the Investor’s ability to consummate the transactions contemplated in this Subscription Agreement, including the purchase of the Securities.</w:t>
      </w:r>
    </w:p>
    <w:p>
      <w:pPr>
        <w:spacing w:after="0" w:line="196" w:lineRule="exact"/>
        <w:rPr>
          <w:rFonts w:ascii="Times New Roman" w:cs="Times New Roman" w:eastAsia="Times New Roman" w:hAnsi="Times New Roman"/>
          <w:sz w:val="20"/>
          <w:szCs w:val="20"/>
          <w:color w:val="010000"/>
        </w:rPr>
      </w:pPr>
    </w:p>
    <w:p>
      <w:pPr>
        <w:jc w:val="both"/>
        <w:ind w:firstLine="1304"/>
        <w:spacing w:after="0" w:line="251" w:lineRule="auto"/>
        <w:tabs>
          <w:tab w:leader="none" w:pos="1944" w:val="left"/>
        </w:tabs>
        <w:numPr>
          <w:ilvl w:val="1"/>
          <w:numId w:val="3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The Investor, or each of the funds managed by or affiliated with the Investor for which the Investor is acting as nominee is, and on each date on which it exercises any Warrant will be: (i) a “qualified institutional buyer” (as defined in Rule 144A under the Securities Act), or an institutional “accredited investor” (within the meaning of Rule 501(a) (1), (2), (3), (7), (8), (9), (12) or (13) under the Securities Act), in each case, satisfying the applicable requirements set forth on </w:t>
      </w:r>
      <w:r>
        <w:rPr>
          <w:rFonts w:ascii="Times New Roman" w:cs="Times New Roman" w:eastAsia="Times New Roman" w:hAnsi="Times New Roman"/>
          <w:sz w:val="20"/>
          <w:szCs w:val="20"/>
          <w:u w:val="single" w:color="auto"/>
          <w:color w:val="auto"/>
        </w:rPr>
        <w:t>Schedule A</w:t>
      </w:r>
      <w:r>
        <w:rPr>
          <w:rFonts w:ascii="Times New Roman" w:cs="Times New Roman" w:eastAsia="Times New Roman" w:hAnsi="Times New Roman"/>
          <w:sz w:val="20"/>
          <w:szCs w:val="20"/>
          <w:color w:val="auto"/>
        </w:rPr>
        <w:t>; (ii) acquiring the Securities only for his, her or its own account and not for the account of others, or if the Investor is subscribing for the Securities as a fiduciary or agent for one or more investor accounts, the Investor has full investment discretion with respect to each such account, and the full power and authority to make the acknowledgements, representations, warranties and agreements in this Subscription Agreement on behalf of each owner of each such account; and (iii) not acquiring the Securities with a view to, or for offer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240"/>
          </w:cols>
          <w:pgMar w:left="320" w:top="1413" w:right="339" w:bottom="1440" w:gutter="0" w:footer="0" w:header="0"/>
        </w:sectPr>
      </w:pPr>
    </w:p>
    <w:bookmarkStart w:id="31" w:name="page32"/>
    <w:bookmarkEnd w:id="31"/>
    <w:p>
      <w:pPr>
        <w:jc w:val="both"/>
        <w:spacing w:after="0" w:line="253" w:lineRule="auto"/>
        <w:rPr>
          <w:sz w:val="20"/>
          <w:szCs w:val="20"/>
          <w:color w:val="auto"/>
        </w:rPr>
      </w:pPr>
      <w:r>
        <w:rPr>
          <w:rFonts w:ascii="Times New Roman" w:cs="Times New Roman" w:eastAsia="Times New Roman" w:hAnsi="Times New Roman"/>
          <w:sz w:val="20"/>
          <w:szCs w:val="20"/>
          <w:color w:val="auto"/>
        </w:rPr>
        <w:t xml:space="preserve">sale in connection with, any distribution thereof in violation of the Securities Act (and shall provide the requested information set forth on </w:t>
      </w:r>
      <w:r>
        <w:rPr>
          <w:rFonts w:ascii="Times New Roman" w:cs="Times New Roman" w:eastAsia="Times New Roman" w:hAnsi="Times New Roman"/>
          <w:sz w:val="20"/>
          <w:szCs w:val="20"/>
          <w:u w:val="single" w:color="auto"/>
          <w:color w:val="auto"/>
        </w:rPr>
        <w:t>Schedule A</w:t>
      </w:r>
      <w:r>
        <w:rPr>
          <w:rFonts w:ascii="Times New Roman" w:cs="Times New Roman" w:eastAsia="Times New Roman" w:hAnsi="Times New Roman"/>
          <w:sz w:val="20"/>
          <w:szCs w:val="20"/>
          <w:color w:val="auto"/>
        </w:rPr>
        <w:t xml:space="preserve">). The Investor is not an entity formed for the specific purpose of acquiring the Securities. The Investor understands that the offering meets the exemptions from filing under FINRA Rule 5123(b)(1)(C) or (J). The Investor has completed </w:t>
      </w:r>
      <w:r>
        <w:rPr>
          <w:rFonts w:ascii="Times New Roman" w:cs="Times New Roman" w:eastAsia="Times New Roman" w:hAnsi="Times New Roman"/>
          <w:sz w:val="20"/>
          <w:szCs w:val="20"/>
          <w:u w:val="single" w:color="auto"/>
          <w:color w:val="auto"/>
        </w:rPr>
        <w:t>Schedule A</w:t>
      </w:r>
      <w:r>
        <w:rPr>
          <w:rFonts w:ascii="Times New Roman" w:cs="Times New Roman" w:eastAsia="Times New Roman" w:hAnsi="Times New Roman"/>
          <w:sz w:val="20"/>
          <w:szCs w:val="20"/>
          <w:color w:val="auto"/>
        </w:rPr>
        <w:t xml:space="preserve"> following the signature page to this Subscription Agreement and the information contained on Schedule A is, and on each date on which the Investor exercises any Warrant will be, accurate and complete.</w:t>
      </w:r>
    </w:p>
    <w:p>
      <w:pPr>
        <w:spacing w:after="0" w:line="192" w:lineRule="exact"/>
        <w:rPr>
          <w:sz w:val="20"/>
          <w:szCs w:val="20"/>
          <w:color w:val="auto"/>
        </w:rPr>
      </w:pPr>
    </w:p>
    <w:p>
      <w:pPr>
        <w:jc w:val="both"/>
        <w:ind w:firstLine="1304"/>
        <w:spacing w:after="0" w:line="253" w:lineRule="auto"/>
        <w:tabs>
          <w:tab w:leader="none" w:pos="1933" w:val="left"/>
        </w:tabs>
        <w:numPr>
          <w:ilvl w:val="0"/>
          <w:numId w:val="3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Investor, or each of the funds managed by or affiliated with the Investor for which the Investor is acting as nominee on the date hereof and on each date on which it exercises any Warrant: (i) is and will be an institutional account as defined in FINRA Rule 4512(c); (ii) is a sophisticated investor, experienced in investing in private equity transactions and capable of evaluating investment risks independently, both in general and with regard to all transactions and investment strategies involving a security or securities; and (iii) has and will have exercised independent judgment in evaluating our participation in the purchase of the Securities. Accordingly, we understand that the offering meets (i) the exemptions from filing under FINRA Rule 5123(b)(1)(A) and (ii) the institutional customer exemption under FINRA Rule 2111(b).</w:t>
      </w:r>
    </w:p>
    <w:p>
      <w:pPr>
        <w:spacing w:after="0" w:line="179" w:lineRule="exact"/>
        <w:rPr>
          <w:rFonts w:ascii="Times New Roman" w:cs="Times New Roman" w:eastAsia="Times New Roman" w:hAnsi="Times New Roman"/>
          <w:sz w:val="20"/>
          <w:szCs w:val="20"/>
          <w:color w:val="010000"/>
        </w:rPr>
      </w:pPr>
    </w:p>
    <w:p>
      <w:pPr>
        <w:jc w:val="both"/>
        <w:ind w:firstLine="1304"/>
        <w:spacing w:after="0" w:line="249" w:lineRule="auto"/>
        <w:tabs>
          <w:tab w:leader="none" w:pos="1938" w:val="left"/>
        </w:tabs>
        <w:numPr>
          <w:ilvl w:val="0"/>
          <w:numId w:val="3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The Investor acknowledges and agrees: (i) that the Securities are being offered in a transaction not involving any public offering within the meaning of the Securities Act; (ii) the Securities have not been registered under the Securities Act; and (iii) that the Company is not required to register the Securities except as set forth in </w:t>
      </w:r>
      <w:r>
        <w:rPr>
          <w:rFonts w:ascii="Times New Roman" w:cs="Times New Roman" w:eastAsia="Times New Roman" w:hAnsi="Times New Roman"/>
          <w:sz w:val="20"/>
          <w:szCs w:val="20"/>
          <w:u w:val="single" w:color="auto"/>
          <w:color w:val="auto"/>
        </w:rPr>
        <w:t>Section 7</w:t>
      </w:r>
      <w:r>
        <w:rPr>
          <w:rFonts w:ascii="Times New Roman" w:cs="Times New Roman" w:eastAsia="Times New Roman" w:hAnsi="Times New Roman"/>
          <w:sz w:val="20"/>
          <w:szCs w:val="20"/>
          <w:color w:val="auto"/>
        </w:rPr>
        <w:t xml:space="preserve"> of this Subscription Agreement. The Investor acknowledges and agrees that the Securities may not be offered, resold, transferred, pledged or otherwise disposed of by the Investor absent an effective registration statement under the Securities Act except: (i) to the Company or one of its subsidiaries; (ii) to non-U.S. persons pursuant to offers and sales that occur outside the United States within the meaning of Regulation S; or (iii) pursuant to another applicable exemption from the registration requirements of the Securities Act. With respect to any transactions falling within clauses (i) and (iii) of the preceding sentence, any such transaction must also be in accordance with any applicable securities laws of the states and other jurisdictions of the United States, and any book entry records or certificates representing the Securities shall contain a restrictive legend to such effect. The Investor acknowledges and agrees that: (i) the Securities will be subject to transfer restrictions; (ii) as a result of these transfer restrictions, the Investor may not be able to readily offer, resell, transfer, pledge or otherwise dispose of the Securities; and (iii) as a consequence, Investor may be required to bear the financial risk of an investment in the Securities for an indefinite period of time. The Investor acknowledges and agrees that the Securities will not be eligible for offer, resale, transfer, pledge or disposition pursuant to Rule 144 promulgated under the Securities Act on the Closing Date. The Investor acknowledges and agrees that it has been advised to consult legal counsel and tax and accounting advisors prior to making any offer, resale, transfer, pledge or disposition of any of the Securities.</w:t>
      </w:r>
    </w:p>
    <w:p>
      <w:pPr>
        <w:spacing w:after="0" w:line="200" w:lineRule="exact"/>
        <w:rPr>
          <w:rFonts w:ascii="Times New Roman" w:cs="Times New Roman" w:eastAsia="Times New Roman" w:hAnsi="Times New Roman"/>
          <w:sz w:val="20"/>
          <w:szCs w:val="20"/>
          <w:color w:val="010000"/>
        </w:rPr>
      </w:pPr>
    </w:p>
    <w:p>
      <w:pPr>
        <w:jc w:val="both"/>
        <w:ind w:firstLine="1304"/>
        <w:spacing w:after="0" w:line="270" w:lineRule="auto"/>
        <w:tabs>
          <w:tab w:leader="none" w:pos="1944" w:val="left"/>
        </w:tabs>
        <w:numPr>
          <w:ilvl w:val="0"/>
          <w:numId w:val="38"/>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The Investor acknowledges and agrees that the Investor is purchasing the Securities directly from the Company. The Investor further acknowledges that there have been no representations, warranties, covenants and agreements made to the Investor by or on behalf of the Company or any of its affiliates or any control persons, officers, directors, employees, partners, agents or representatives of any of the foregoing or any other person or entity, expressly or by implication. Investor explicitly disclaims reliance on any of the foregoing other than those representations, warranties, covenants and agreements of the Company expressly set forth in this Subscription Agreement.</w:t>
      </w:r>
    </w:p>
    <w:p>
      <w:pPr>
        <w:spacing w:after="0" w:line="175" w:lineRule="exact"/>
        <w:rPr>
          <w:rFonts w:ascii="Times New Roman" w:cs="Times New Roman" w:eastAsia="Times New Roman" w:hAnsi="Times New Roman"/>
          <w:sz w:val="19"/>
          <w:szCs w:val="19"/>
          <w:color w:val="010000"/>
        </w:rPr>
      </w:pPr>
    </w:p>
    <w:p>
      <w:pPr>
        <w:ind w:firstLine="1304"/>
        <w:spacing w:after="0" w:line="283" w:lineRule="auto"/>
        <w:tabs>
          <w:tab w:leader="none" w:pos="1944" w:val="left"/>
        </w:tabs>
        <w:numPr>
          <w:ilvl w:val="0"/>
          <w:numId w:val="3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Investor’s acquisition and holding of the Securities will not constitute or result in a non-exempt prohibited transaction under Section 406 of the Employee Retirement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240"/>
          </w:cols>
          <w:pgMar w:left="320" w:top="1413"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20"/>
          <w:szCs w:val="20"/>
          <w:color w:val="auto"/>
        </w:rPr>
        <w:t>Security Act of 1974, as amended, Section 4975 of the Internal Revenue Code of 1986, as amended, or any applicable similar law.</w:t>
      </w:r>
    </w:p>
    <w:p>
      <w:pPr>
        <w:spacing w:after="0" w:line="229" w:lineRule="exact"/>
        <w:rPr>
          <w:sz w:val="20"/>
          <w:szCs w:val="20"/>
          <w:color w:val="auto"/>
        </w:rPr>
      </w:pPr>
    </w:p>
    <w:p>
      <w:pPr>
        <w:jc w:val="both"/>
        <w:ind w:firstLine="1304"/>
        <w:spacing w:after="0" w:line="250" w:lineRule="auto"/>
        <w:tabs>
          <w:tab w:leader="none" w:pos="1940" w:val="left"/>
        </w:tabs>
        <w:numPr>
          <w:ilvl w:val="1"/>
          <w:numId w:val="3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Investor acknowledges and agrees that the Investor has received and has had the opportunity to review and understand such financials and other information as the Investor deems necessary in order to make an investment decision with respect to the Securities, including, with respect to the Company, the Transaction and the business of the Company and its subsidiaries. Without limiting the generality of the foregoing, the Investor acknowledges that he, she or it has had the opportunity to review the Company’s SEC Reports. The Investor acknowledges and agrees that the Investor and the Investor’s professional advisor(s), if any, have had the opportunity to ask such questions, receive such answers and obtain such information as the Investor and such Investor’s professional advisor(s) have deemed necessary to make an investment decision with respect to the Securities. The Investor has received and has had the opportunity to review and understand the materials made available to it in connection with the Transaction, has made its own assessment and has satisfied itself concerning the relevant tax and other economic considerations relevant to its investment in the Securities. The Investor acknowledges that the Company offered to make certain non-public information available to the Investor subject to customary trading restrictions and non-disclosure requirements.</w:t>
      </w:r>
    </w:p>
    <w:p>
      <w:pPr>
        <w:spacing w:after="0" w:line="186" w:lineRule="exact"/>
        <w:rPr>
          <w:rFonts w:ascii="Times New Roman" w:cs="Times New Roman" w:eastAsia="Times New Roman" w:hAnsi="Times New Roman"/>
          <w:sz w:val="20"/>
          <w:szCs w:val="20"/>
          <w:color w:val="010000"/>
        </w:rPr>
      </w:pPr>
    </w:p>
    <w:p>
      <w:pPr>
        <w:jc w:val="both"/>
        <w:ind w:firstLine="1304"/>
        <w:spacing w:after="0" w:line="253" w:lineRule="auto"/>
        <w:tabs>
          <w:tab w:leader="none" w:pos="1940" w:val="left"/>
        </w:tabs>
        <w:numPr>
          <w:ilvl w:val="1"/>
          <w:numId w:val="3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Investor acknowledges that certain information provided to it was based on forecasts. The Investor understands and agrees that such forecasts were prepared based on assumptions and estimates that are inherently uncertain and are subject to a wide variety of significant business, economic and competitive risks and uncertainties many of which are outside of the Company’s control. Consequently, Investor acknowledges and agrees that actual results may differ materially from those contained in the forecasts and that the Company does not guarantee the accuracy of any such forecasts. The Investor acknowledges that all forward-looking information and forecasts were prepared without the participation of the Placement Agents and that the Placement Agents do not assume responsibility for independent verification of, or the accuracy or completeness of, such information or forecasts.</w:t>
      </w:r>
    </w:p>
    <w:p>
      <w:pPr>
        <w:spacing w:after="0" w:line="179" w:lineRule="exact"/>
        <w:rPr>
          <w:rFonts w:ascii="Times New Roman" w:cs="Times New Roman" w:eastAsia="Times New Roman" w:hAnsi="Times New Roman"/>
          <w:sz w:val="20"/>
          <w:szCs w:val="20"/>
          <w:color w:val="010000"/>
        </w:rPr>
      </w:pPr>
    </w:p>
    <w:p>
      <w:pPr>
        <w:jc w:val="both"/>
        <w:ind w:firstLine="1304"/>
        <w:spacing w:after="0" w:line="263" w:lineRule="auto"/>
        <w:tabs>
          <w:tab w:leader="none" w:pos="1944" w:val="left"/>
        </w:tabs>
        <w:numPr>
          <w:ilvl w:val="1"/>
          <w:numId w:val="39"/>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The Investor became aware of this offering of the Securities solely by means of direct contact between the Investor and the Company or a representative of the Company. Investor acknowledges that the Securities were offered to the Investor solely by direct contact between the Investor and the Company or a representative of the Company. The Investor did not become aware of this offering of the Securities, nor were the Securities offered to the Investor, by any other means. The Investor acknowledges that the Securities: (i) were not offered to it by any advertising or, to its knowledge, general solicitation; and (ii) are not being offered in a manner involving a public offering under, or in a distribution in violation of, the Securities Act, or any state securities laws. In making its investment or decision to invest in the Company, the Investor acknowledges that it is not relying upon, and has not relied and disclaims reliance upon, any statement, representation or warranty made by any person, firm or corporation (including, without limitation, the Company, the Placement Agents, any of their respective affiliates or any control persons, officers, directors, employees, partners, agents or representatives of any of the foregoing), other than the representations and warranties of the Company contained in this Subscription Agreement. Neither the Investor, nor to its knowledge any of its directors, officers, employees, agents, stockholders or partners has either directly or indirectly, including through a broker or finder,</w:t>
      </w:r>
    </w:p>
    <w:p>
      <w:pPr>
        <w:ind w:left="240" w:hanging="232"/>
        <w:spacing w:after="0"/>
        <w:tabs>
          <w:tab w:leader="none" w:pos="240" w:val="left"/>
        </w:tabs>
        <w:numPr>
          <w:ilvl w:val="0"/>
          <w:numId w:val="4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 its knowledge, engaged in any general solicitation, or (ii) published any advertisement in connection with the offering of the Securities.</w:t>
      </w:r>
    </w:p>
    <w:p>
      <w:pPr>
        <w:spacing w:after="0" w:line="211" w:lineRule="exact"/>
        <w:rPr>
          <w:rFonts w:ascii="Times New Roman" w:cs="Times New Roman" w:eastAsia="Times New Roman" w:hAnsi="Times New Roman"/>
          <w:sz w:val="19"/>
          <w:szCs w:val="19"/>
          <w:color w:val="auto"/>
        </w:rPr>
      </w:pPr>
    </w:p>
    <w:p>
      <w:pPr>
        <w:jc w:val="both"/>
        <w:ind w:firstLine="1304"/>
        <w:spacing w:after="0" w:line="268" w:lineRule="auto"/>
        <w:tabs>
          <w:tab w:leader="none" w:pos="1940" w:val="left"/>
        </w:tabs>
        <w:numPr>
          <w:ilvl w:val="1"/>
          <w:numId w:val="4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Investor acknowledges that it is aware that there are substantial risks incident to the purchase and ownership of the Securities, including those set forth in the Company’s SEC Reports. The Investor: (i) is able to fend for itself in the Transaction contemplated in this Subscription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240"/>
          </w:cols>
          <w:pgMar w:left="320" w:top="1413" w:right="339" w:bottom="1440" w:gutter="0" w:footer="0" w:header="0"/>
        </w:sectPr>
      </w:pPr>
    </w:p>
    <w:bookmarkStart w:id="33" w:name="page34"/>
    <w:bookmarkEnd w:id="33"/>
    <w:p>
      <w:pPr>
        <w:jc w:val="both"/>
        <w:ind w:firstLine="8"/>
        <w:spacing w:after="0" w:line="250" w:lineRule="auto"/>
        <w:tabs>
          <w:tab w:leader="none" w:pos="296"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has such knowledge and experience in financial and business matters as to be capable of evaluating the merits and risks of an investment in the Securities; and (iii) has the ability to bear the economic risks of its prospective investment and can afford the complete loss of such investment. The Investor has sought such accounting, legal and tax advice as the Investor has considered necessary to make an informed investment decision. Investor acknowledges and agrees that it has made its own assessment and has satisfied itself concerning relevant tax and other economic considerations relative to its purchase of the Securities. The Investor will not look to TD Securities (USA), LLC, Cantor Fitzgerald &amp; Co., Oppenheimer &amp; Co. Inc. or any of their respective affiliates, in each’s capacity as placement agent (collectively, the “</w:t>
      </w:r>
      <w:r>
        <w:rPr>
          <w:rFonts w:ascii="Times New Roman" w:cs="Times New Roman" w:eastAsia="Times New Roman" w:hAnsi="Times New Roman"/>
          <w:sz w:val="20"/>
          <w:szCs w:val="20"/>
          <w:u w:val="single" w:color="auto"/>
          <w:color w:val="auto"/>
        </w:rPr>
        <w:t>Placement Agents</w:t>
      </w:r>
      <w:r>
        <w:rPr>
          <w:rFonts w:ascii="Times New Roman" w:cs="Times New Roman" w:eastAsia="Times New Roman" w:hAnsi="Times New Roman"/>
          <w:sz w:val="20"/>
          <w:szCs w:val="20"/>
          <w:color w:val="auto"/>
        </w:rPr>
        <w:t>”), for all or part of any such loss or losses the Investor may suffer. Investor represents that: (i) it is able to sustain a complete loss on its investment in the Securities; (ii) has no need for liquidity with respect to its investment in the Securities; and (iii) has no reason to anticipate any change in circumstances, financial or otherwise, which may cause or require any sale or distribution of all or any part of the Securities.</w:t>
      </w:r>
    </w:p>
    <w:p>
      <w:pPr>
        <w:spacing w:after="0" w:line="196" w:lineRule="exact"/>
        <w:rPr>
          <w:rFonts w:ascii="Times New Roman" w:cs="Times New Roman" w:eastAsia="Times New Roman" w:hAnsi="Times New Roman"/>
          <w:sz w:val="20"/>
          <w:szCs w:val="20"/>
          <w:color w:val="auto"/>
        </w:rPr>
      </w:pPr>
    </w:p>
    <w:p>
      <w:pPr>
        <w:jc w:val="both"/>
        <w:ind w:firstLine="1304"/>
        <w:spacing w:after="0" w:line="258" w:lineRule="auto"/>
        <w:tabs>
          <w:tab w:leader="none" w:pos="1931" w:val="left"/>
        </w:tabs>
        <w:numPr>
          <w:ilvl w:val="1"/>
          <w:numId w:val="4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Alone, or together with any professional advisor(s), the Investor acknowledges that it has adequately analyzed and fully considered the risks of an investment in the Securities and determined that the Securities are a suitable investment for the Investor. Investor represents that it is able at this time and in the foreseeable future to bear the economic risk of a total loss of the Investor’s investment in the Company. The Investor acknowledges specifically that a possibility of total loss exists.</w:t>
      </w:r>
    </w:p>
    <w:p>
      <w:pPr>
        <w:spacing w:after="0" w:line="172" w:lineRule="exact"/>
        <w:rPr>
          <w:rFonts w:ascii="Times New Roman" w:cs="Times New Roman" w:eastAsia="Times New Roman" w:hAnsi="Times New Roman"/>
          <w:sz w:val="20"/>
          <w:szCs w:val="20"/>
          <w:color w:val="010000"/>
        </w:rPr>
      </w:pPr>
    </w:p>
    <w:p>
      <w:pPr>
        <w:jc w:val="both"/>
        <w:ind w:firstLine="1304"/>
        <w:spacing w:after="0" w:line="257" w:lineRule="auto"/>
        <w:tabs>
          <w:tab w:leader="none" w:pos="1944" w:val="left"/>
        </w:tabs>
        <w:numPr>
          <w:ilvl w:val="1"/>
          <w:numId w:val="4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In making its decision to purchase the Securities, the Investor has relied solely upon its own independent investigation and that of its advisors, if any. Without limiting the generality of the foregoing, the Investor has not relied (and disclaims reliance) on any statements or other information provided by or on behalf of the Placement Agents or any of their respective affiliates or any control persons, officers, directors, employees, partners, agents or representatives of any of the foregoing concerning the Company, the Transaction, this Subscription Agreement, the Securities or the offer and sale of the Securities.</w:t>
      </w:r>
    </w:p>
    <w:p>
      <w:pPr>
        <w:spacing w:after="0" w:line="172" w:lineRule="exact"/>
        <w:rPr>
          <w:rFonts w:ascii="Times New Roman" w:cs="Times New Roman" w:eastAsia="Times New Roman" w:hAnsi="Times New Roman"/>
          <w:sz w:val="20"/>
          <w:szCs w:val="20"/>
          <w:color w:val="010000"/>
        </w:rPr>
      </w:pPr>
    </w:p>
    <w:p>
      <w:pPr>
        <w:jc w:val="both"/>
        <w:ind w:firstLine="1304"/>
        <w:spacing w:after="0" w:line="252" w:lineRule="auto"/>
        <w:tabs>
          <w:tab w:leader="none" w:pos="1944" w:val="left"/>
        </w:tabs>
        <w:numPr>
          <w:ilvl w:val="1"/>
          <w:numId w:val="4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Investor acknowledges and agrees that the Placement Agents and their respective directors, officers, employees, representatives and controlling persons: (i) have not provided the Investor with any information or advice with respect to the Securities; (ii) have not made or make any representation, express or implied as to the Company, the Company’s credit quality, the Securities or the Investor’s purchase of the Securities; (iii) have not acted as the Investor’s financial advisor or fiduciary in connection with the issue and purchase of Securities; (iv) may have acquired, or during the term of the Securities may acquire, non-public information with respect to the Company, which, subject to the requirements of applicable law, the Investor agrees need not be provided to it; (v) may have existing or future business relationships with the Company (including, but not limited to, lending, depository, risk management, advisory and banking relationships); (vi) will pursue actions and take steps that it deems or they deem necessary or appropriate to protect its or their interests arising therefrom without regard to the consequences for a holder of Securities, and that certain of these actions may have material and adverse consequences for a holder of Securities.</w:t>
      </w:r>
    </w:p>
    <w:p>
      <w:pPr>
        <w:spacing w:after="0" w:line="177" w:lineRule="exact"/>
        <w:rPr>
          <w:rFonts w:ascii="Times New Roman" w:cs="Times New Roman" w:eastAsia="Times New Roman" w:hAnsi="Times New Roman"/>
          <w:sz w:val="20"/>
          <w:szCs w:val="20"/>
          <w:color w:val="010000"/>
        </w:rPr>
      </w:pPr>
    </w:p>
    <w:p>
      <w:pPr>
        <w:jc w:val="both"/>
        <w:ind w:firstLine="1304"/>
        <w:spacing w:after="0" w:line="257" w:lineRule="auto"/>
        <w:tabs>
          <w:tab w:leader="none" w:pos="1944" w:val="left"/>
        </w:tabs>
        <w:numPr>
          <w:ilvl w:val="1"/>
          <w:numId w:val="4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Investor acknowledges and agrees that it has not relied on the Placement Agents in connection with its determination as to the legality of its acquisition of the Securities or as to the other matters referred to in this Subscription Agreement. Investor also acknowledges that it has not relied on any investigation that the Placement Agents, any of its affiliates or any person acting on their behalf have conducted with respect to the Securities or the Company. The Investor further acknowledges and agrees that it has not relied on any information contained in any research reports prepared by the Placement Agents or any of its respective affiliates.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240"/>
          </w:cols>
          <w:pgMar w:left="320" w:top="1413" w:right="339" w:bottom="1440" w:gutter="0" w:footer="0" w:header="0"/>
        </w:sectPr>
      </w:pPr>
    </w:p>
    <w:bookmarkStart w:id="34" w:name="page35"/>
    <w:bookmarkEnd w:id="34"/>
    <w:p>
      <w:pPr>
        <w:ind w:firstLine="1304"/>
        <w:spacing w:after="0" w:line="283" w:lineRule="auto"/>
        <w:tabs>
          <w:tab w:leader="none" w:pos="1944" w:val="left"/>
        </w:tabs>
        <w:numPr>
          <w:ilvl w:val="0"/>
          <w:numId w:val="4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Investor acknowledges and agrees that no federal or state agency has passed upon or endorsed the merits of the offering of the Securities or made any findings or determination as to the fairness of this investment.</w:t>
      </w:r>
    </w:p>
    <w:p>
      <w:pPr>
        <w:spacing w:after="0" w:line="146" w:lineRule="exact"/>
        <w:rPr>
          <w:rFonts w:ascii="Times New Roman" w:cs="Times New Roman" w:eastAsia="Times New Roman" w:hAnsi="Times New Roman"/>
          <w:sz w:val="20"/>
          <w:szCs w:val="20"/>
          <w:color w:val="010000"/>
        </w:rPr>
      </w:pPr>
    </w:p>
    <w:p>
      <w:pPr>
        <w:jc w:val="both"/>
        <w:ind w:firstLine="1304"/>
        <w:spacing w:after="0" w:line="250" w:lineRule="auto"/>
        <w:tabs>
          <w:tab w:leader="none" w:pos="1927" w:val="left"/>
        </w:tabs>
        <w:numPr>
          <w:ilvl w:val="0"/>
          <w:numId w:val="4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execution, delivery and performance by the Investor of this Subscription Agreement are within the Investor’s powers, have been duly authorized and will not constitute or result in a breach or default under or conflict with any order, ruling or regulation of any court or other tribunal or of any governmental commission or agency, or any agreement or other undertaking, to which the Investor is a party or by which the Investor is bound that would reasonably be expected to have a material adverse effect on the legal authority of the Investor to enter into and perform its obligation under this Subscription Agreement. If the Investor is not an individual, the execution, delivery and performance by the Investor of this Subscription Agreement will not violate any provisions of the Investor’s organizational documents, including, without limitation, its incorporation or formation papers, bylaws, indenture of trust or partnership or operating agreement, as may be applicable. The signature on this Subscription Agreement is genuine. If the Investor is an individual, the signatory has legal competence and Investor has the capacity to execute this Subscription Agreement. If the Investor is not an individual, the signatory has been duly authorized to execute this Subscription Agreement. Assuming that this Subscription Agreement constitutes the valid and binding obligation of the Company, this Subscription Agreement constitutes a legal, valid and binding obligation of the Investor, enforceable against the Investor in accordance with its terms except as may be limited or otherwise affected by (i) bankruptcy, insolvency, fraudulent conveyance, reorganization, moratorium or other laws relating to or affecting the rights of creditors generally, or (ii) principles of equity, whether considered at law or equity.</w:t>
      </w:r>
    </w:p>
    <w:p>
      <w:pPr>
        <w:spacing w:after="0" w:line="196" w:lineRule="exact"/>
        <w:rPr>
          <w:rFonts w:ascii="Times New Roman" w:cs="Times New Roman" w:eastAsia="Times New Roman" w:hAnsi="Times New Roman"/>
          <w:sz w:val="20"/>
          <w:szCs w:val="20"/>
          <w:color w:val="010000"/>
        </w:rPr>
      </w:pPr>
    </w:p>
    <w:p>
      <w:pPr>
        <w:jc w:val="both"/>
        <w:ind w:firstLine="1304"/>
        <w:spacing w:after="0" w:line="251" w:lineRule="auto"/>
        <w:tabs>
          <w:tab w:leader="none" w:pos="1935" w:val="left"/>
        </w:tabs>
        <w:numPr>
          <w:ilvl w:val="0"/>
          <w:numId w:val="4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operations of the Investor have been conducted in material compliance with the rules and regulations administered or conducted by OFAC applicable to such Investor. Such Investor has performed due diligence necessary to reasonably determine that its beneficial owners are not named on the lists of denied parties or blocked persons administered by OFAC, resident in or organized under the laws of a country that is the target or the subject of economic or financial sanctions or trade embargoes imposed, administered or enforced from time to time by relevant governmental authorities with competent jurisdiction, including, but not limited to those administered by the U.S. government (through the Office of Foreign Assets Control of the U.S. Department of the Treasury and the U.S. Department of State), the United Nations Security Council, the European Union or any EU member state, or the United Kingdom (including His Majesty’s Treasury of the United Kingdom) (collectively, “</w:t>
      </w:r>
      <w:r>
        <w:rPr>
          <w:rFonts w:ascii="Times New Roman" w:cs="Times New Roman" w:eastAsia="Times New Roman" w:hAnsi="Times New Roman"/>
          <w:sz w:val="20"/>
          <w:szCs w:val="20"/>
          <w:u w:val="single" w:color="auto"/>
          <w:color w:val="auto"/>
        </w:rPr>
        <w:t>Sanctions</w:t>
      </w:r>
      <w:r>
        <w:rPr>
          <w:rFonts w:ascii="Times New Roman" w:cs="Times New Roman" w:eastAsia="Times New Roman" w:hAnsi="Times New Roman"/>
          <w:sz w:val="20"/>
          <w:szCs w:val="20"/>
          <w:color w:val="auto"/>
        </w:rPr>
        <w:t>”), except as permitted thereby.</w:t>
      </w:r>
    </w:p>
    <w:p>
      <w:pPr>
        <w:spacing w:after="0" w:line="181" w:lineRule="exact"/>
        <w:rPr>
          <w:rFonts w:ascii="Times New Roman" w:cs="Times New Roman" w:eastAsia="Times New Roman" w:hAnsi="Times New Roman"/>
          <w:sz w:val="20"/>
          <w:szCs w:val="20"/>
          <w:color w:val="010000"/>
        </w:rPr>
      </w:pPr>
    </w:p>
    <w:p>
      <w:pPr>
        <w:ind w:left="1940" w:hanging="636"/>
        <w:spacing w:after="0"/>
        <w:tabs>
          <w:tab w:leader="none" w:pos="1940" w:val="left"/>
        </w:tabs>
        <w:numPr>
          <w:ilvl w:val="0"/>
          <w:numId w:val="42"/>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No disclosure or offering document has been prepared by the Placement Agents in connection with the offer and sale</w:t>
      </w:r>
    </w:p>
    <w:p>
      <w:pPr>
        <w:spacing w:after="0" w:line="39" w:lineRule="exact"/>
        <w:rPr>
          <w:rFonts w:ascii="Times New Roman" w:cs="Times New Roman" w:eastAsia="Times New Roman" w:hAnsi="Times New Roman"/>
          <w:sz w:val="19"/>
          <w:szCs w:val="19"/>
          <w:color w:val="010000"/>
        </w:rPr>
      </w:pPr>
    </w:p>
    <w:p>
      <w:pPr>
        <w:spacing w:after="0"/>
        <w:rPr>
          <w:rFonts w:ascii="Times New Roman" w:cs="Times New Roman" w:eastAsia="Times New Roman" w:hAnsi="Times New Roman"/>
          <w:sz w:val="19"/>
          <w:szCs w:val="19"/>
          <w:color w:val="010000"/>
        </w:rPr>
      </w:pPr>
      <w:r>
        <w:rPr>
          <w:rFonts w:ascii="Times New Roman" w:cs="Times New Roman" w:eastAsia="Times New Roman" w:hAnsi="Times New Roman"/>
          <w:sz w:val="20"/>
          <w:szCs w:val="20"/>
          <w:color w:val="auto"/>
        </w:rPr>
        <w:t>of the Securities.</w:t>
      </w:r>
    </w:p>
    <w:p>
      <w:pPr>
        <w:spacing w:after="0" w:line="200" w:lineRule="exact"/>
        <w:rPr>
          <w:rFonts w:ascii="Times New Roman" w:cs="Times New Roman" w:eastAsia="Times New Roman" w:hAnsi="Times New Roman"/>
          <w:sz w:val="19"/>
          <w:szCs w:val="19"/>
          <w:color w:val="010000"/>
        </w:rPr>
      </w:pPr>
    </w:p>
    <w:p>
      <w:pPr>
        <w:jc w:val="both"/>
        <w:ind w:firstLine="1304"/>
        <w:spacing w:after="0" w:line="258" w:lineRule="auto"/>
        <w:tabs>
          <w:tab w:leader="none" w:pos="1944" w:val="left"/>
        </w:tabs>
        <w:numPr>
          <w:ilvl w:val="0"/>
          <w:numId w:val="4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No Placement Agents, nor any of their respective affiliates nor any control persons, officers, directors, employees, partners, agents or representatives of any of the foregoing have made any independent investigation with respect to the Company or its subsidiaries or any of their respective businesses, or the Securities or the accuracy, completeness or adequacy of any information supplied to the Investor by the Company.</w:t>
      </w:r>
    </w:p>
    <w:p>
      <w:pPr>
        <w:spacing w:after="0" w:line="185" w:lineRule="exact"/>
        <w:rPr>
          <w:rFonts w:ascii="Times New Roman" w:cs="Times New Roman" w:eastAsia="Times New Roman" w:hAnsi="Times New Roman"/>
          <w:sz w:val="20"/>
          <w:szCs w:val="20"/>
          <w:color w:val="010000"/>
        </w:rPr>
      </w:pPr>
    </w:p>
    <w:p>
      <w:pPr>
        <w:ind w:left="1940" w:hanging="636"/>
        <w:spacing w:after="0"/>
        <w:tabs>
          <w:tab w:leader="none" w:pos="1940" w:val="left"/>
        </w:tabs>
        <w:numPr>
          <w:ilvl w:val="0"/>
          <w:numId w:val="42"/>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In connection with the issue and purchase of the Securities, no Placement Agents has acted as the Investor’s financial</w:t>
      </w:r>
    </w:p>
    <w:p>
      <w:pPr>
        <w:spacing w:after="0" w:line="33" w:lineRule="exact"/>
        <w:rPr>
          <w:rFonts w:ascii="Times New Roman" w:cs="Times New Roman" w:eastAsia="Times New Roman" w:hAnsi="Times New Roman"/>
          <w:sz w:val="19"/>
          <w:szCs w:val="19"/>
          <w:color w:val="010000"/>
        </w:rPr>
      </w:pPr>
    </w:p>
    <w:p>
      <w:pPr>
        <w:spacing w:after="0"/>
        <w:rPr>
          <w:rFonts w:ascii="Times New Roman" w:cs="Times New Roman" w:eastAsia="Times New Roman" w:hAnsi="Times New Roman"/>
          <w:sz w:val="19"/>
          <w:szCs w:val="19"/>
          <w:color w:val="010000"/>
        </w:rPr>
      </w:pPr>
      <w:r>
        <w:rPr>
          <w:rFonts w:ascii="Times New Roman" w:cs="Times New Roman" w:eastAsia="Times New Roman" w:hAnsi="Times New Roman"/>
          <w:sz w:val="20"/>
          <w:szCs w:val="20"/>
          <w:color w:val="auto"/>
        </w:rPr>
        <w:t>advisor or fiduciary.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240"/>
          </w:cols>
          <w:pgMar w:left="320" w:top="1413" w:right="339" w:bottom="1440" w:gutter="0" w:footer="0" w:header="0"/>
        </w:sectPr>
      </w:pPr>
    </w:p>
    <w:bookmarkStart w:id="35" w:name="page36"/>
    <w:bookmarkEnd w:id="35"/>
    <w:p>
      <w:pPr>
        <w:jc w:val="both"/>
        <w:ind w:right="20" w:firstLine="1304"/>
        <w:spacing w:after="0" w:line="261" w:lineRule="auto"/>
        <w:tabs>
          <w:tab w:leader="none" w:pos="1921" w:val="left"/>
        </w:tabs>
        <w:numPr>
          <w:ilvl w:val="1"/>
          <w:numId w:val="4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The Investor, when required to deliver payment to the Company pursuant to </w:t>
      </w:r>
      <w:r>
        <w:rPr>
          <w:rFonts w:ascii="Times New Roman" w:cs="Times New Roman" w:eastAsia="Times New Roman" w:hAnsi="Times New Roman"/>
          <w:sz w:val="20"/>
          <w:szCs w:val="20"/>
          <w:u w:val="single" w:color="auto"/>
          <w:color w:val="auto"/>
        </w:rPr>
        <w:t>Section 2</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auto"/>
          <w:highlight w:val="white"/>
        </w:rPr>
        <w:t>above, will have sufficient</w:t>
      </w:r>
      <w:r>
        <w:rPr>
          <w:rFonts w:ascii="Times New Roman" w:cs="Times New Roman" w:eastAsia="Times New Roman" w:hAnsi="Times New Roman"/>
          <w:sz w:val="20"/>
          <w:szCs w:val="20"/>
          <w:color w:val="auto"/>
        </w:rPr>
        <w:t xml:space="preserve"> immediately available funds to pay the Subscription Amount and consummate the purchase and sale of the Securities pursuant to this Subscription Agreement.</w:t>
      </w:r>
    </w:p>
    <w:p>
      <w:pPr>
        <w:spacing w:after="0" w:line="181" w:lineRule="exact"/>
        <w:rPr>
          <w:rFonts w:ascii="Times New Roman" w:cs="Times New Roman" w:eastAsia="Times New Roman" w:hAnsi="Times New Roman"/>
          <w:sz w:val="20"/>
          <w:szCs w:val="20"/>
          <w:color w:val="010000"/>
        </w:rPr>
      </w:pPr>
    </w:p>
    <w:p>
      <w:pPr>
        <w:jc w:val="both"/>
        <w:ind w:firstLine="1304"/>
        <w:spacing w:after="0" w:line="250" w:lineRule="auto"/>
        <w:tabs>
          <w:tab w:leader="none" w:pos="1944" w:val="left"/>
        </w:tabs>
        <w:numPr>
          <w:ilvl w:val="1"/>
          <w:numId w:val="4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Other than consummating the transactions contemplated hereunder, the Investor has not, nor has any Person acting on behalf of or pursuant to any understanding with the Investor, directly or indirectly executed any purchases or sales, including Short Sales, of the securities of the Company during the period commencing as of the time that the Investor first became aware of the potential Transaction from the Company or any other Person representing the Company and ending immediately prior to the execution hereof. Notwithstanding the foregoing, in the case of an Investor that is a multi-managed investment vehicle whereby separate portfolio managers manage separate portions of such Investor’s assets and the portfolio managers have no direct knowledge of the investment decisions made by the portfolio managers managing other portions of such Investor’s assets, the representation set forth above shall only apply with respect to the portion of assets managed by the portfolio manager that made the investment decision to purchase the Securities covered by this Subscription Agreement. Notwithstanding the foregoing, for the avoidance of doubt, nothing contained herein shall constitute a representation or warranty, or preclude any actions, with respect to locating or borrowing shares in order to effect Short Sales or similar transactions in the future.</w:t>
      </w:r>
    </w:p>
    <w:p>
      <w:pPr>
        <w:spacing w:after="0" w:line="186" w:lineRule="exact"/>
        <w:rPr>
          <w:rFonts w:ascii="Times New Roman" w:cs="Times New Roman" w:eastAsia="Times New Roman" w:hAnsi="Times New Roman"/>
          <w:sz w:val="20"/>
          <w:szCs w:val="20"/>
          <w:color w:val="010000"/>
        </w:rPr>
      </w:pPr>
    </w:p>
    <w:p>
      <w:pPr>
        <w:jc w:val="both"/>
        <w:ind w:firstLine="1304"/>
        <w:spacing w:after="0" w:line="258" w:lineRule="auto"/>
        <w:tabs>
          <w:tab w:leader="none" w:pos="1931" w:val="left"/>
        </w:tabs>
        <w:numPr>
          <w:ilvl w:val="1"/>
          <w:numId w:val="4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Investor is not currently (and at all times through Closing will refrain from being or becoming) a member of a “group” (within the meaning of Section 13(d)(3) or Section 14(d)(2) of the Exchange Act or any successor provision) acting for the purpose of acquiring, holding, voting or disposing of equity securities of the Company (within the meaning of Rule 13d-5(b)(1) under the Exchange Act), other than a group consisting solely of the Investor and its affiliates.</w:t>
      </w:r>
    </w:p>
    <w:p>
      <w:pPr>
        <w:spacing w:after="0" w:line="185" w:lineRule="exact"/>
        <w:rPr>
          <w:rFonts w:ascii="Times New Roman" w:cs="Times New Roman" w:eastAsia="Times New Roman" w:hAnsi="Times New Roman"/>
          <w:sz w:val="20"/>
          <w:szCs w:val="20"/>
          <w:color w:val="010000"/>
        </w:rPr>
      </w:pPr>
    </w:p>
    <w:p>
      <w:pPr>
        <w:jc w:val="both"/>
        <w:ind w:firstLine="1304"/>
        <w:spacing w:after="0" w:line="264" w:lineRule="auto"/>
        <w:tabs>
          <w:tab w:leader="none" w:pos="1933" w:val="left"/>
        </w:tabs>
        <w:numPr>
          <w:ilvl w:val="1"/>
          <w:numId w:val="43"/>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If the Investor is or is acting on behalf of: (i) an employee benefit plan that is subject to Title I of the Employee Retirement Income Security Act of 1974, as amended (“</w:t>
      </w:r>
      <w:r>
        <w:rPr>
          <w:rFonts w:ascii="Times New Roman" w:cs="Times New Roman" w:eastAsia="Times New Roman" w:hAnsi="Times New Roman"/>
          <w:sz w:val="19"/>
          <w:szCs w:val="19"/>
          <w:u w:val="single" w:color="auto"/>
          <w:color w:val="auto"/>
        </w:rPr>
        <w:t>ERISA</w:t>
      </w:r>
      <w:r>
        <w:rPr>
          <w:rFonts w:ascii="Times New Roman" w:cs="Times New Roman" w:eastAsia="Times New Roman" w:hAnsi="Times New Roman"/>
          <w:sz w:val="19"/>
          <w:szCs w:val="19"/>
          <w:color w:val="auto"/>
        </w:rPr>
        <w:t>”); (ii) a plan, an individual retirement account or other arrangement that is subject to Section 4975 of the Internal Revenue Code of 1986, as amended (the “</w:t>
      </w:r>
      <w:r>
        <w:rPr>
          <w:rFonts w:ascii="Times New Roman" w:cs="Times New Roman" w:eastAsia="Times New Roman" w:hAnsi="Times New Roman"/>
          <w:sz w:val="19"/>
          <w:szCs w:val="19"/>
          <w:u w:val="single" w:color="auto"/>
          <w:color w:val="auto"/>
        </w:rPr>
        <w:t>Code</w:t>
      </w:r>
      <w:r>
        <w:rPr>
          <w:rFonts w:ascii="Times New Roman" w:cs="Times New Roman" w:eastAsia="Times New Roman" w:hAnsi="Times New Roman"/>
          <w:sz w:val="19"/>
          <w:szCs w:val="19"/>
          <w:color w:val="auto"/>
        </w:rPr>
        <w:t>”); (iii) an entity whose underlying assets are considered to include “plan assets” of any such plan, account or arrangement described in clauses (i) and (ii) (each, an “</w:t>
      </w:r>
      <w:r>
        <w:rPr>
          <w:rFonts w:ascii="Times New Roman" w:cs="Times New Roman" w:eastAsia="Times New Roman" w:hAnsi="Times New Roman"/>
          <w:sz w:val="19"/>
          <w:szCs w:val="19"/>
          <w:u w:val="single" w:color="auto"/>
          <w:color w:val="auto"/>
        </w:rPr>
        <w:t>ERISA Plan</w:t>
      </w:r>
      <w:r>
        <w:rPr>
          <w:rFonts w:ascii="Times New Roman" w:cs="Times New Roman" w:eastAsia="Times New Roman" w:hAnsi="Times New Roman"/>
          <w:sz w:val="19"/>
          <w:szCs w:val="19"/>
          <w:color w:val="auto"/>
        </w:rPr>
        <w:t>”); or (iv) an employee benefit plan that is a governmental plan (as defined in Section 3(32) of ERISA), a church plan (as defined in Section 3(33) of ERISA), a non-U.S. plan (as described in Section 4(b)(4) of ERISA) or other plan that is not subject to the foregoing clauses (i), (ii) or (iii) but may be subject to provisions under any other federal, state, local, non-U.S. or other laws or regulations that are similar to such provisions of ERISA or the Code (collectively, “</w:t>
      </w:r>
      <w:r>
        <w:rPr>
          <w:rFonts w:ascii="Times New Roman" w:cs="Times New Roman" w:eastAsia="Times New Roman" w:hAnsi="Times New Roman"/>
          <w:sz w:val="19"/>
          <w:szCs w:val="19"/>
          <w:u w:val="single" w:color="auto"/>
          <w:color w:val="auto"/>
        </w:rPr>
        <w:t>Similar Laws</w:t>
      </w:r>
      <w:r>
        <w:rPr>
          <w:rFonts w:ascii="Times New Roman" w:cs="Times New Roman" w:eastAsia="Times New Roman" w:hAnsi="Times New Roman"/>
          <w:sz w:val="19"/>
          <w:szCs w:val="19"/>
          <w:color w:val="auto"/>
        </w:rPr>
        <w:t>,” and together with ERISA Plans, “</w:t>
      </w:r>
      <w:r>
        <w:rPr>
          <w:rFonts w:ascii="Times New Roman" w:cs="Times New Roman" w:eastAsia="Times New Roman" w:hAnsi="Times New Roman"/>
          <w:sz w:val="19"/>
          <w:szCs w:val="19"/>
          <w:u w:val="single" w:color="auto"/>
          <w:color w:val="auto"/>
        </w:rPr>
        <w:t>Plans</w:t>
      </w:r>
      <w:r>
        <w:rPr>
          <w:rFonts w:ascii="Times New Roman" w:cs="Times New Roman" w:eastAsia="Times New Roman" w:hAnsi="Times New Roman"/>
          <w:sz w:val="19"/>
          <w:szCs w:val="19"/>
          <w:color w:val="auto"/>
        </w:rPr>
        <w:t>”), the Investor represents and warrants that (A) neither the Company nor any of its affiliates has provided investment advice or has otherwise acted as the Plan’s fiduciary, with respect to its decision to acquire and hold the Securities; (B) none of the parties to the Transaction is or shall at any time be the Plan’s fiduciary with respect to any decision in connection with the Investor’s investment in the Securities; and (C) its purchase of the Securities will not result in a non-exempt prohibited transaction under Section 406 of ERISA or Section 4975 of the Code, or any applicable Similar Law.</w:t>
      </w:r>
    </w:p>
    <w:p>
      <w:pPr>
        <w:spacing w:after="0" w:line="180" w:lineRule="exact"/>
        <w:rPr>
          <w:rFonts w:ascii="Times New Roman" w:cs="Times New Roman" w:eastAsia="Times New Roman" w:hAnsi="Times New Roman"/>
          <w:sz w:val="19"/>
          <w:szCs w:val="19"/>
          <w:color w:val="010000"/>
        </w:rPr>
      </w:pPr>
    </w:p>
    <w:p>
      <w:pPr>
        <w:ind w:left="1300" w:hanging="644"/>
        <w:spacing w:after="0"/>
        <w:tabs>
          <w:tab w:leader="none" w:pos="130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Registration Rights</w:t>
      </w:r>
      <w:r>
        <w:rPr>
          <w:rFonts w:ascii="Times New Roman" w:cs="Times New Roman" w:eastAsia="Times New Roman" w:hAnsi="Times New Roman"/>
          <w:sz w:val="20"/>
          <w:szCs w:val="20"/>
          <w:color w:val="auto"/>
        </w:rPr>
        <w:t>.</w:t>
      </w:r>
    </w:p>
    <w:p>
      <w:pPr>
        <w:spacing w:after="0" w:line="242" w:lineRule="exact"/>
        <w:rPr>
          <w:rFonts w:ascii="Times New Roman" w:cs="Times New Roman" w:eastAsia="Times New Roman" w:hAnsi="Times New Roman"/>
          <w:sz w:val="20"/>
          <w:szCs w:val="20"/>
          <w:color w:val="auto"/>
        </w:rPr>
      </w:pPr>
    </w:p>
    <w:p>
      <w:pPr>
        <w:jc w:val="both"/>
        <w:ind w:firstLine="1304"/>
        <w:spacing w:after="0" w:line="268" w:lineRule="auto"/>
        <w:tabs>
          <w:tab w:leader="none" w:pos="1933" w:val="left"/>
        </w:tabs>
        <w:numPr>
          <w:ilvl w:val="1"/>
          <w:numId w:val="44"/>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On or prior to the Closing Date, and in no event later than 30 calendar days after the Closing Date (such deadline, the “</w:t>
      </w:r>
      <w:r>
        <w:rPr>
          <w:rFonts w:ascii="Times New Roman" w:cs="Times New Roman" w:eastAsia="Times New Roman" w:hAnsi="Times New Roman"/>
          <w:sz w:val="20"/>
          <w:szCs w:val="20"/>
          <w:u w:val="single" w:color="auto"/>
          <w:color w:val="auto"/>
        </w:rPr>
        <w:t>Filing Deadline</w:t>
      </w:r>
      <w:r>
        <w:rPr>
          <w:rFonts w:ascii="Times New Roman" w:cs="Times New Roman" w:eastAsia="Times New Roman" w:hAnsi="Times New Roman"/>
          <w:sz w:val="20"/>
          <w:szCs w:val="20"/>
          <w:color w:val="auto"/>
        </w:rPr>
        <w:t>”), the Company will endeavor to file with the SEC (at its sole cost and expense) a registration statement registering the resale of the Shares (the “</w:t>
      </w:r>
      <w:r>
        <w:rPr>
          <w:rFonts w:ascii="Times New Roman" w:cs="Times New Roman" w:eastAsia="Times New Roman" w:hAnsi="Times New Roman"/>
          <w:sz w:val="20"/>
          <w:szCs w:val="20"/>
          <w:u w:val="single" w:color="auto"/>
          <w:color w:val="auto"/>
        </w:rPr>
        <w:t>Registration Statement</w:t>
      </w:r>
      <w:r>
        <w:rPr>
          <w:rFonts w:ascii="Times New Roman" w:cs="Times New Roman" w:eastAsia="Times New Roman" w:hAnsi="Times New Roman"/>
          <w:sz w:val="20"/>
          <w:szCs w:val="20"/>
          <w:color w:val="auto"/>
        </w:rPr>
        <w:t>”). The Company shall use its commercially reasonable efforts to have the Registration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240"/>
          </w:cols>
          <w:pgMar w:left="320" w:top="1413" w:right="339" w:bottom="1440" w:gutter="0" w:footer="0" w:header="0"/>
        </w:sectPr>
      </w:pPr>
    </w:p>
    <w:bookmarkStart w:id="36" w:name="page37"/>
    <w:bookmarkEnd w:id="36"/>
    <w:p>
      <w:pPr>
        <w:jc w:val="both"/>
        <w:spacing w:after="0" w:line="248" w:lineRule="auto"/>
        <w:rPr>
          <w:sz w:val="20"/>
          <w:szCs w:val="20"/>
          <w:color w:val="auto"/>
        </w:rPr>
      </w:pPr>
      <w:r>
        <w:rPr>
          <w:rFonts w:ascii="Times New Roman" w:cs="Times New Roman" w:eastAsia="Times New Roman" w:hAnsi="Times New Roman"/>
          <w:sz w:val="20"/>
          <w:szCs w:val="20"/>
          <w:color w:val="auto"/>
        </w:rPr>
        <w:t>Statement declared effective as soon as practicable after the filing thereof, but no later than the earlier of (i) sixty (60) calendar days after the filing thereof (or ninety (90) calendar days after the filing thereof if the SEC notifies the Company that it will “review” the Registration Statement) and (ii) five (5) business days after the Company is notified (orally or in writing, whichever is earlier) by the SEC that the Registration Statement will not be “reviewed” or will not be subject to further review (such earlier date, the “</w:t>
      </w:r>
      <w:r>
        <w:rPr>
          <w:rFonts w:ascii="Times New Roman" w:cs="Times New Roman" w:eastAsia="Times New Roman" w:hAnsi="Times New Roman"/>
          <w:sz w:val="20"/>
          <w:szCs w:val="20"/>
          <w:u w:val="single" w:color="auto"/>
          <w:color w:val="auto"/>
        </w:rPr>
        <w:t>Effectiveness Date</w:t>
      </w:r>
      <w:r>
        <w:rPr>
          <w:rFonts w:ascii="Times New Roman" w:cs="Times New Roman" w:eastAsia="Times New Roman" w:hAnsi="Times New Roman"/>
          <w:sz w:val="20"/>
          <w:szCs w:val="20"/>
          <w:color w:val="auto"/>
        </w:rPr>
        <w:t xml:space="preserve">”). The Company may amend the Registration Statement so as to convert the Registration Statement to a Registration Statement on Form S-3 at such time after the Company becomes eligible to use such Form S-3. The Company will use its commercially reasonable efforts to provide a draft of the Registration Statement to the Investor for review at least two (2) business days in advance of filing the Registration Statement. In no event shall the Investor be identified as a statutory underwriter in the Registration Statement. Notwithstanding the foregoing, if the SEC requires that the Investor be identified as a statutory underwriter in the Registration Statement, the Investor will have the option, in its sole and absolute discretion, to either (i) have the opportunity to cause the Company to withdraw from the Registration Statement upon its prompt written request to the Company, in which case the Company’s obligation to register the Shares will be deemed satisfied or (ii) be included as such in the Registration Statement. The Company’s obligations to include the Shares issued pursuant to this Subscription Agreement (or shares issued in exchange therefor) for resale in the Registration Statement are contingent upon the Investor furnishing in writing to the Company such information regarding the Investor, the securities of the Company held by the Investor and the intended method of disposition of such Shares, which shall be limited to non-underwritten public offerings, as shall be reasonably requested by the Company to effect the registration of such Shares. Investor shall also execute documents in connection with such registration as the Company may reasonably request that are customary of a selling stockholder in similar situations. Notwithstanding anything to the contrary in this Subscription Agreement, in connection with the obligations of the Company under this </w:t>
      </w:r>
      <w:r>
        <w:rPr>
          <w:rFonts w:ascii="Times New Roman" w:cs="Times New Roman" w:eastAsia="Times New Roman" w:hAnsi="Times New Roman"/>
          <w:sz w:val="20"/>
          <w:szCs w:val="20"/>
          <w:u w:val="single" w:color="auto"/>
          <w:color w:val="auto"/>
        </w:rPr>
        <w:t>Section 7</w:t>
      </w:r>
      <w:r>
        <w:rPr>
          <w:rFonts w:ascii="Times New Roman" w:cs="Times New Roman" w:eastAsia="Times New Roman" w:hAnsi="Times New Roman"/>
          <w:sz w:val="20"/>
          <w:szCs w:val="20"/>
          <w:color w:val="auto"/>
        </w:rPr>
        <w:t xml:space="preserve">, the Investor shall not be required to execute any lock-up or similar agreement or otherwise be subject to any contractual restriction on the ability to transfer the Shares. Upon notification by the SEC that any Registration Statement has been declared effective by the SEC, within one (1) business day thereafter, the Company shall file the final prospectus under Rule 424 of the Securities Act. The Company agrees to cause such Registration Statement, or another shelf registration statement that includes the Shares to be sold pursuant to this Subscription Agreement, to remain effective until the earliest of: (i) the second anniversary of the Effectiveness Date of the Registration Statement registering all Shares for resale by the Investor; (ii) the date on which the Investor ceases to hold any Shares issued pursuant to this Subscription Agreement; or (iii) the first date on which the Investor is able to sell all of its Shares issued pursuant to this Subscription Agreement (or shares received in exchange therefor) under Rule 144 of the Securities Act without volume or manner of sale limitations. For purposes of clarification, any failure by the Company to file the Registration Statement by the Filing Deadline or to effect such Registration Statement by the Effectiveness Date shall not otherwise relieve the Company of its obligations to file or effect the Registration Statement set forth in this </w:t>
      </w:r>
      <w:r>
        <w:rPr>
          <w:rFonts w:ascii="Times New Roman" w:cs="Times New Roman" w:eastAsia="Times New Roman" w:hAnsi="Times New Roman"/>
          <w:sz w:val="20"/>
          <w:szCs w:val="20"/>
          <w:u w:val="single" w:color="auto"/>
          <w:color w:val="auto"/>
        </w:rPr>
        <w:t>Section 7</w:t>
      </w:r>
      <w:r>
        <w:rPr>
          <w:rFonts w:ascii="Times New Roman" w:cs="Times New Roman" w:eastAsia="Times New Roman" w:hAnsi="Times New Roman"/>
          <w:sz w:val="20"/>
          <w:szCs w:val="20"/>
          <w:color w:val="auto"/>
        </w:rPr>
        <w:t xml:space="preserve">. Notwithstanding the foregoing, if the SEC prevents the Company from including any or all of the shares proposed to be registered under a Registration Statement due to limitations on the use of Rule 415 under the Securities Act for the resale of the Shares pursuant to this </w:t>
      </w:r>
      <w:r>
        <w:rPr>
          <w:rFonts w:ascii="Times New Roman" w:cs="Times New Roman" w:eastAsia="Times New Roman" w:hAnsi="Times New Roman"/>
          <w:sz w:val="20"/>
          <w:szCs w:val="20"/>
          <w:u w:val="single" w:color="auto"/>
          <w:color w:val="auto"/>
        </w:rPr>
        <w:t>Section 7</w:t>
      </w:r>
      <w:r>
        <w:rPr>
          <w:rFonts w:ascii="Times New Roman" w:cs="Times New Roman" w:eastAsia="Times New Roman" w:hAnsi="Times New Roman"/>
          <w:sz w:val="20"/>
          <w:szCs w:val="20"/>
          <w:color w:val="auto"/>
        </w:rPr>
        <w:t xml:space="preserve"> by the applicable stockholders or otherwise, such Registration Statement shall register for resale the number of Shares which is equal to the maximum number of Shares as is permitted to be registered by the SEC. In such event, the number of Shares to be registered for each selling stockholder named in such Registration Statement shall be reduced pro rata among all such selling stockholders. In the event the Company amends the Registration Statement in accordance with the foregoing, the Company will use its commercially reasonable efforts to file with the SEC, as promptly as allowed by the SEC, one or more registration statements to register the resale of those Shares that were not registered on the initial Registration Statement, as so amended.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240"/>
          </w:cols>
          <w:pgMar w:left="320" w:top="1413" w:right="339" w:bottom="1440" w:gutter="0" w:footer="0" w:header="0"/>
        </w:sectPr>
      </w:pPr>
    </w:p>
    <w:bookmarkStart w:id="37" w:name="page38"/>
    <w:bookmarkEnd w:id="37"/>
    <w:p>
      <w:pPr>
        <w:jc w:val="both"/>
        <w:ind w:firstLine="1304"/>
        <w:spacing w:after="0" w:line="252" w:lineRule="auto"/>
        <w:tabs>
          <w:tab w:leader="none" w:pos="1944" w:val="left"/>
        </w:tabs>
        <w:numPr>
          <w:ilvl w:val="0"/>
          <w:numId w:val="4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For as long as the Investor holds the Warrant or, if shorter, through the date of expiration, or redemption or termination of the Warrant in accordance with the provisions of the Warrant, the Company will use commercially reasonable efforts to qualify the Warrant Shares for listing on the stock exchange on which the Common Stock is then listed. For as long as the Investor holds Warrant or, if shorter, through the date of expiration, or redemption or termination of the Warrant in accordance with the provisions of the Warrant, the Company will use commercially reasonable efforts to (A) make and keep public information available, as those terms are understood and defined in Rule 144, (B) file in a timely manner all reports and other documents with the SEC required under the Exchange Act and (C) provide all customary and reasonable cooperation necessary, in each case, to enable the Investor to resell the Warrant Shares pursuant to the Registration Statement or Rule 144 of the Securities Act (when Rule 144 of the Securities Act becomes available to the Investor), as applicable.</w:t>
      </w:r>
    </w:p>
    <w:p>
      <w:pPr>
        <w:spacing w:after="0" w:line="175" w:lineRule="exact"/>
        <w:rPr>
          <w:rFonts w:ascii="Times New Roman" w:cs="Times New Roman" w:eastAsia="Times New Roman" w:hAnsi="Times New Roman"/>
          <w:sz w:val="20"/>
          <w:szCs w:val="20"/>
          <w:color w:val="010000"/>
        </w:rPr>
      </w:pPr>
    </w:p>
    <w:p>
      <w:pPr>
        <w:jc w:val="both"/>
        <w:ind w:firstLine="1304"/>
        <w:spacing w:after="0" w:line="252" w:lineRule="auto"/>
        <w:tabs>
          <w:tab w:leader="none" w:pos="1933" w:val="left"/>
        </w:tabs>
        <w:numPr>
          <w:ilvl w:val="0"/>
          <w:numId w:val="4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Company may suspend the use of any such Registration Statement if the board of directors of the Company determines in good faith that either in order for such Registration Statement not to contain a material misstatement or omission, an amendment thereto would be needed to include information that would at that time not otherwise be required in a current, quarterly, or annual report under the Exchange Act (a “</w:t>
      </w:r>
      <w:r>
        <w:rPr>
          <w:rFonts w:ascii="Times New Roman" w:cs="Times New Roman" w:eastAsia="Times New Roman" w:hAnsi="Times New Roman"/>
          <w:sz w:val="20"/>
          <w:szCs w:val="20"/>
          <w:u w:val="single" w:color="auto"/>
          <w:color w:val="auto"/>
        </w:rPr>
        <w:t>Suspension Event</w:t>
      </w:r>
      <w:r>
        <w:rPr>
          <w:rFonts w:ascii="Times New Roman" w:cs="Times New Roman" w:eastAsia="Times New Roman" w:hAnsi="Times New Roman"/>
          <w:sz w:val="20"/>
          <w:szCs w:val="20"/>
          <w:color w:val="auto"/>
        </w:rPr>
        <w:t>”). Notwithstanding the foregoing, (i) the Company shall not so delay filing or so suspend the use of the Registration Statement for a period of more than sixty (60) consecutive days, not more than twice or more than a total of ninety (90) calendar days, in each case in any three hundred sixty (360) day period and (ii) the Company shall use commercially reasonable efforts to make such Registration Statement available for the sale by the Investor of such securities as soon as practicable thereafter. The Company shall use commercially reasonable efforts to cause its transfer agent to deliver unlegended shares of Common Stock to a transferee of an Investor in connection with any sale of Shares where, following such sale, subsequent public distribution of such shares shall not require registration under the Securities Act.</w:t>
      </w:r>
    </w:p>
    <w:p>
      <w:pPr>
        <w:spacing w:after="0" w:line="177" w:lineRule="exact"/>
        <w:rPr>
          <w:rFonts w:ascii="Times New Roman" w:cs="Times New Roman" w:eastAsia="Times New Roman" w:hAnsi="Times New Roman"/>
          <w:sz w:val="20"/>
          <w:szCs w:val="20"/>
          <w:color w:val="010000"/>
        </w:rPr>
      </w:pPr>
    </w:p>
    <w:p>
      <w:pPr>
        <w:jc w:val="both"/>
        <w:ind w:firstLine="1304"/>
        <w:spacing w:after="0" w:line="250" w:lineRule="auto"/>
        <w:tabs>
          <w:tab w:leader="none" w:pos="1944" w:val="left"/>
        </w:tabs>
        <w:numPr>
          <w:ilvl w:val="0"/>
          <w:numId w:val="4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Company shall remove any restrictive legend included on the certificates (or, in the case of book-entry shares, any other instrument or record) representing the Investor’s ownership of the Shares, and the Company shall issue a certificate (or evidence of the issuance of such securities in book-entry form) without such restrictive legend or any other restrictive legend to the Investor, if: (i) such Shares are sold or transferred pursuant to the effective Registration Statement or pursuant to Rule 144 where, following such sale, subsequent public distribution of such shares shall not require registration under the Securities Act; or (ii) such Shares are eligible for sale pursuant to Section 4(a)(1) of the Securities Act or Rule 144 without volume or manner-of-sale restrictions and without the requirement for the Company to be in compliance with the current public information required under Rule 144(c)(2) (or Rule 144(i)(2), if applicable). Following Rule 144 becoming available for the resale of such Shares without volume or manner-of-sale restrictions, the Company, upon the written request of Investor and after providing the Company with all customary documentation, shall instruct the Company’s transfer agent to remove the legend from such Shares (in whatever form) and shall use commercially reasonable efforts to cause the Company’s counsel to issue any legend removal opinion required by the transfer agent.</w:t>
      </w:r>
    </w:p>
    <w:p>
      <w:pPr>
        <w:spacing w:after="0" w:line="199" w:lineRule="exact"/>
        <w:rPr>
          <w:rFonts w:ascii="Times New Roman" w:cs="Times New Roman" w:eastAsia="Times New Roman" w:hAnsi="Times New Roman"/>
          <w:sz w:val="20"/>
          <w:szCs w:val="20"/>
          <w:color w:val="010000"/>
        </w:rPr>
      </w:pPr>
    </w:p>
    <w:p>
      <w:pPr>
        <w:ind w:left="1940" w:hanging="636"/>
        <w:spacing w:after="0"/>
        <w:tabs>
          <w:tab w:leader="none" w:pos="1940" w:val="left"/>
        </w:tabs>
        <w:numPr>
          <w:ilvl w:val="0"/>
          <w:numId w:val="45"/>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At its expense, the Company shall use commercially reasonable efforts to advise the Investor within five (5) business</w:t>
      </w:r>
    </w:p>
    <w:p>
      <w:pPr>
        <w:spacing w:after="0" w:line="33" w:lineRule="exact"/>
        <w:rPr>
          <w:rFonts w:ascii="Times New Roman" w:cs="Times New Roman" w:eastAsia="Times New Roman" w:hAnsi="Times New Roman"/>
          <w:sz w:val="19"/>
          <w:szCs w:val="19"/>
          <w:color w:val="010000"/>
        </w:rPr>
      </w:pPr>
    </w:p>
    <w:p>
      <w:pPr>
        <w:jc w:val="both"/>
        <w:spacing w:after="0" w:line="251" w:lineRule="auto"/>
        <w:rPr>
          <w:rFonts w:ascii="Times New Roman" w:cs="Times New Roman" w:eastAsia="Times New Roman" w:hAnsi="Times New Roman"/>
          <w:sz w:val="19"/>
          <w:szCs w:val="19"/>
          <w:color w:val="010000"/>
        </w:rPr>
      </w:pPr>
      <w:r>
        <w:rPr>
          <w:rFonts w:ascii="Times New Roman" w:cs="Times New Roman" w:eastAsia="Times New Roman" w:hAnsi="Times New Roman"/>
          <w:sz w:val="20"/>
          <w:szCs w:val="20"/>
          <w:color w:val="auto"/>
        </w:rPr>
        <w:t>days: (i) when a Registration Statement or any post-effective amendment thereto has been filed with the SEC and when such Registration Statement or post-effective amendment thereto has become effective; (ii) after it shall receive notice or obtain knowledge thereof, of any request by the SEC for amendments or supplements to any Registration Statement or the prospectus included in such Registration Statement or for additional information; (iii) after it shall have received notice or obtained knowledge thereof, of the issuance by the SEC of any stop order suspending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240"/>
          </w:cols>
          <w:pgMar w:left="320" w:top="1413" w:right="339" w:bottom="1440" w:gutter="0" w:footer="0" w:header="0"/>
        </w:sectPr>
      </w:pPr>
    </w:p>
    <w:bookmarkStart w:id="38" w:name="page39"/>
    <w:bookmarkEnd w:id="38"/>
    <w:p>
      <w:pPr>
        <w:jc w:val="both"/>
        <w:spacing w:after="0" w:line="263" w:lineRule="auto"/>
        <w:rPr>
          <w:sz w:val="20"/>
          <w:szCs w:val="20"/>
          <w:color w:val="auto"/>
        </w:rPr>
      </w:pPr>
      <w:r>
        <w:rPr>
          <w:rFonts w:ascii="Times New Roman" w:cs="Times New Roman" w:eastAsia="Times New Roman" w:hAnsi="Times New Roman"/>
          <w:sz w:val="19"/>
          <w:szCs w:val="19"/>
          <w:color w:val="auto"/>
        </w:rPr>
        <w:t>effectiveness of any Registration Statement or the initiation of any proceedings for such purpose; (iv) of the receipt by the Company of any notification with respect to the suspension of the qualification of the Shares included in such Registration Statement for sale in any jurisdiction or the initiation or threatening of any proceeding for such purpose; and (v) subject to the provisions in this Subscription Agreement, of the occurrence of any event that requires the making of any changes in any Registration Statement or prospectus so that, as of such date, the statements therein do not include any untrue statements of a material fact and do not omit to state a material fact required to be stated therein or necessary to make the statements therein (in the case of a prospectus, in the light of the circumstances under which they were made) not misleading. The Company shall use commercially reasonable efforts to promptly provide written notice of the happening of any of the foregoing or of a Suspension Event during the period that the Registration Statement is effective or if as a result of a Suspension Event the Registration Statement or related prospectus contains any untrue statement of a material fact or omits to state any material fact required to be stated therein or necessary to make the statements therein, in light of the circumstances under which they were made (in the case of the prospectus) not misleading. The notice sent by the Company pursuant to the preceding sentence shall not contain any material non-public information other than the description of such event, which the parties agree may constitute material non-public information. Upon the occurrence of any event contemplated in clauses (i) through (v) above, except for such times as the Company is permitted under this Agreement to suspend, and has suspended, the use of a prospectus forming part of a Registration Statement, the Company shall use its commercially reasonable efforts to as soon as reasonably practicable prepare a post-effective amendment to such Registration Statement or a supplement to the related prospectus, or file any other required document so that, as thereafter delivered to purchasers of the Shares included in such Registration Statement, such prospectus will not include any untrue statement of a material fact or omit to state any material fact necessary to make the statements therein, in the light of the circumstances under which they were made, not misleading.</w:t>
      </w:r>
    </w:p>
    <w:p>
      <w:pPr>
        <w:spacing w:after="0" w:line="200" w:lineRule="exact"/>
        <w:rPr>
          <w:sz w:val="20"/>
          <w:szCs w:val="20"/>
          <w:color w:val="auto"/>
        </w:rPr>
      </w:pPr>
    </w:p>
    <w:p>
      <w:pPr>
        <w:spacing w:after="0" w:line="225" w:lineRule="exact"/>
        <w:rPr>
          <w:sz w:val="20"/>
          <w:szCs w:val="20"/>
          <w:color w:val="auto"/>
        </w:rPr>
      </w:pPr>
    </w:p>
    <w:p>
      <w:pPr>
        <w:ind w:left="1940" w:hanging="636"/>
        <w:spacing w:after="0"/>
        <w:tabs>
          <w:tab w:leader="none" w:pos="1940" w:val="left"/>
        </w:tabs>
        <w:numPr>
          <w:ilvl w:val="0"/>
          <w:numId w:val="46"/>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For purposes of this </w:t>
      </w:r>
      <w:r>
        <w:rPr>
          <w:rFonts w:ascii="Times New Roman" w:cs="Times New Roman" w:eastAsia="Times New Roman" w:hAnsi="Times New Roman"/>
          <w:sz w:val="20"/>
          <w:szCs w:val="20"/>
          <w:u w:val="single" w:color="auto"/>
          <w:color w:val="auto"/>
        </w:rPr>
        <w:t>Section 7</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010000"/>
        </w:rPr>
      </w:pPr>
    </w:p>
    <w:p>
      <w:pPr>
        <w:jc w:val="both"/>
        <w:ind w:left="1300" w:firstLine="652"/>
        <w:spacing w:after="0" w:line="261" w:lineRule="auto"/>
        <w:tabs>
          <w:tab w:leader="none" w:pos="2594" w:val="left"/>
        </w:tabs>
        <w:numPr>
          <w:ilvl w:val="1"/>
          <w:numId w:val="46"/>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“Shares” shall include, as of any date of determination, (A) the Shares, (B) the Warrant Shares and (C) any other equity security issued or issuable with respect to such Shares or Warrant Shares by way of share split, dividend, distribution, recapitalization, merger, exchange, replacement or similar event.</w:t>
      </w:r>
    </w:p>
    <w:p>
      <w:pPr>
        <w:spacing w:after="0" w:line="181" w:lineRule="exact"/>
        <w:rPr>
          <w:rFonts w:ascii="Times New Roman" w:cs="Times New Roman" w:eastAsia="Times New Roman" w:hAnsi="Times New Roman"/>
          <w:sz w:val="20"/>
          <w:szCs w:val="20"/>
          <w:color w:val="010000"/>
        </w:rPr>
      </w:pPr>
    </w:p>
    <w:p>
      <w:pPr>
        <w:ind w:left="2600" w:hanging="648"/>
        <w:spacing w:after="0"/>
        <w:tabs>
          <w:tab w:leader="none" w:pos="2600" w:val="left"/>
        </w:tabs>
        <w:numPr>
          <w:ilvl w:val="1"/>
          <w:numId w:val="46"/>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“Investor” shall include any person or entity to which the rights under this </w:t>
      </w:r>
      <w:r>
        <w:rPr>
          <w:rFonts w:ascii="Times New Roman" w:cs="Times New Roman" w:eastAsia="Times New Roman" w:hAnsi="Times New Roman"/>
          <w:sz w:val="20"/>
          <w:szCs w:val="20"/>
          <w:u w:val="single" w:color="auto"/>
          <w:color w:val="auto"/>
        </w:rPr>
        <w:t>Section 7</w:t>
      </w:r>
      <w:r>
        <w:rPr>
          <w:rFonts w:ascii="Times New Roman" w:cs="Times New Roman" w:eastAsia="Times New Roman" w:hAnsi="Times New Roman"/>
          <w:sz w:val="20"/>
          <w:szCs w:val="20"/>
          <w:color w:val="auto"/>
        </w:rPr>
        <w:t xml:space="preserve"> shall have been duly</w:t>
      </w:r>
    </w:p>
    <w:p>
      <w:pPr>
        <w:spacing w:after="0" w:line="28" w:lineRule="exact"/>
        <w:rPr>
          <w:rFonts w:ascii="Times New Roman" w:cs="Times New Roman" w:eastAsia="Times New Roman" w:hAnsi="Times New Roman"/>
          <w:sz w:val="20"/>
          <w:szCs w:val="20"/>
          <w:color w:val="010000"/>
        </w:rPr>
      </w:pPr>
    </w:p>
    <w:p>
      <w:pPr>
        <w:ind w:left="1300"/>
        <w:spacing w:after="0"/>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assigned.</w:t>
      </w:r>
    </w:p>
    <w:p>
      <w:pPr>
        <w:spacing w:after="0" w:line="200" w:lineRule="exact"/>
        <w:rPr>
          <w:rFonts w:ascii="Times New Roman" w:cs="Times New Roman" w:eastAsia="Times New Roman" w:hAnsi="Times New Roman"/>
          <w:sz w:val="20"/>
          <w:szCs w:val="20"/>
          <w:color w:val="010000"/>
        </w:rPr>
      </w:pPr>
    </w:p>
    <w:p>
      <w:pPr>
        <w:jc w:val="both"/>
        <w:ind w:firstLine="1304"/>
        <w:spacing w:after="0" w:line="252" w:lineRule="auto"/>
        <w:tabs>
          <w:tab w:leader="none" w:pos="1944" w:val="left"/>
        </w:tabs>
        <w:numPr>
          <w:ilvl w:val="0"/>
          <w:numId w:val="46"/>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Notwithstanding any termination of this Subscription Agreement, the Company shall indemnify, defend and hold harmless the Investor, the officers, directors, partners, members, managers, stockholders, and employees of the Investor, each person who controls the Investor (within the meaning of Section 15 of the Securities Act or Section 20 of the Exchange Act) and the officers, directors, partners, members, managers, stockholders, and employees of each such controlling person, to the fullest extent permitted by applicable law, from and against any and all losses, claims, damages, liabilities, reasonable and documented costs (including, without limitation, reasonable and documented out-of-pocket attorneys’ fees) and reasonable and documented expenses (collectively, “</w:t>
      </w:r>
      <w:r>
        <w:rPr>
          <w:rFonts w:ascii="Times New Roman" w:cs="Times New Roman" w:eastAsia="Times New Roman" w:hAnsi="Times New Roman"/>
          <w:sz w:val="20"/>
          <w:szCs w:val="20"/>
          <w:u w:val="single" w:color="auto"/>
          <w:color w:val="auto"/>
        </w:rPr>
        <w:t>Losses</w:t>
      </w:r>
      <w:r>
        <w:rPr>
          <w:rFonts w:ascii="Times New Roman" w:cs="Times New Roman" w:eastAsia="Times New Roman" w:hAnsi="Times New Roman"/>
          <w:sz w:val="20"/>
          <w:szCs w:val="20"/>
          <w:color w:val="auto"/>
        </w:rPr>
        <w:t>”), as incurred, that arise out of or are based upon any untrue or alleged untrue statement of a material fact contained (or incorporated by reference) in the Registration Statement, any prospectus included in the Registration Statement or any form of prospectus or in any amendment or supplement thereto or in any preliminary prospectus, or arising out of or relating to any omission or alleged omission to state a material fact required to be stated therein or necessary to make the statements therein (in the case of any prospectus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240"/>
          </w:cols>
          <w:pgMar w:left="320" w:top="1413" w:right="339" w:bottom="1440" w:gutter="0" w:footer="0" w:header="0"/>
        </w:sectPr>
      </w:pPr>
    </w:p>
    <w:bookmarkStart w:id="39" w:name="page40"/>
    <w:bookmarkEnd w:id="39"/>
    <w:p>
      <w:pPr>
        <w:jc w:val="both"/>
        <w:spacing w:after="0" w:line="253" w:lineRule="auto"/>
        <w:rPr>
          <w:sz w:val="20"/>
          <w:szCs w:val="20"/>
          <w:color w:val="auto"/>
        </w:rPr>
      </w:pPr>
      <w:r>
        <w:rPr>
          <w:rFonts w:ascii="Times New Roman" w:cs="Times New Roman" w:eastAsia="Times New Roman" w:hAnsi="Times New Roman"/>
          <w:sz w:val="20"/>
          <w:szCs w:val="20"/>
          <w:color w:val="auto"/>
        </w:rPr>
        <w:t xml:space="preserve">form of prospectus or supplement thereto, in light of the circumstances under which they were made) not misleading. The indemnity obligation set forth in this Section 7(g) shall not apply, however, to the extent that any untrue statements, alleged untrue statements, omissions or alleged omissions are based upon information regarding the Investor furnished in writing to the Company by the Investor expressly for use in any of the SEC filings referenced in this Section 7(g). The Company shall notify the Investor promptly of the institution, threat or assertion of any proceeding arising from or in connection with the transactions contemplated by this </w:t>
      </w:r>
      <w:r>
        <w:rPr>
          <w:rFonts w:ascii="Times New Roman" w:cs="Times New Roman" w:eastAsia="Times New Roman" w:hAnsi="Times New Roman"/>
          <w:sz w:val="20"/>
          <w:szCs w:val="20"/>
          <w:u w:val="single" w:color="auto"/>
          <w:color w:val="auto"/>
        </w:rPr>
        <w:t>Section 7</w:t>
      </w:r>
      <w:r>
        <w:rPr>
          <w:rFonts w:ascii="Times New Roman" w:cs="Times New Roman" w:eastAsia="Times New Roman" w:hAnsi="Times New Roman"/>
          <w:sz w:val="20"/>
          <w:szCs w:val="20"/>
          <w:color w:val="auto"/>
        </w:rPr>
        <w:t xml:space="preserve"> of which the Company is aware. Notwithstanding the foregoing, the Company’s indemnification obligations shall not apply to amounts paid in settlement of any Losses or action if such settlement is effected without the prior written consent of the Company.</w:t>
      </w:r>
    </w:p>
    <w:p>
      <w:pPr>
        <w:spacing w:after="0" w:line="179" w:lineRule="exact"/>
        <w:rPr>
          <w:sz w:val="20"/>
          <w:szCs w:val="20"/>
          <w:color w:val="auto"/>
        </w:rPr>
      </w:pPr>
    </w:p>
    <w:p>
      <w:pPr>
        <w:jc w:val="both"/>
        <w:ind w:firstLine="1304"/>
        <w:spacing w:after="0" w:line="251" w:lineRule="auto"/>
        <w:tabs>
          <w:tab w:leader="none" w:pos="1944" w:val="left"/>
        </w:tabs>
        <w:numPr>
          <w:ilvl w:val="0"/>
          <w:numId w:val="4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Investor shall, severally and not jointly with any Other Investor, indemnify and hold harmless the Company, its directors, officers, partners, members, managers, stockholders, agents and employees, each person who controls the Company (within the meaning of Section 15 of the Securities Act and Section 20 of the Exchange Act), and the directors, officers, partners, members, managers, stockholders, or employees of such controlling persons, to the fullest extent permitted by applicable law, from and against all Losses, as incurred, arising out of or are based upon any untrue or alleged untrue statement of a material fact contained in any Registration Statement, any prospectus included in the Registration Statement, or any form of prospectus, or in any amendment or supplement thereto or in any preliminary prospectus, or arising out of or relating to any omission or alleged omission of a material fact required to be stated therein or necessary to make the statements therein (in the case of any prospectus, or any form of prospectus or supplement thereto, in light of the circumstances under which they were made) not misleading to the extent, but only to the extent, that such untrue statements, alleged untrue statements, omissions or alleged omissions are based upon information regarding the Investor furnished in writing to the Company by the Investor expressly for use therein. Notwithstanding the foregoing, the Investor’s indemnification obligations shall not apply to amounts paid in settlement of any Losses or action if such settlement is effected without the prior written consent of the Investor.</w:t>
      </w:r>
    </w:p>
    <w:p>
      <w:pPr>
        <w:spacing w:after="0" w:line="178" w:lineRule="exact"/>
        <w:rPr>
          <w:rFonts w:ascii="Times New Roman" w:cs="Times New Roman" w:eastAsia="Times New Roman" w:hAnsi="Times New Roman"/>
          <w:sz w:val="20"/>
          <w:szCs w:val="20"/>
          <w:color w:val="010000"/>
        </w:rPr>
      </w:pPr>
    </w:p>
    <w:p>
      <w:pPr>
        <w:jc w:val="both"/>
        <w:ind w:firstLine="1304"/>
        <w:spacing w:after="0" w:line="250" w:lineRule="auto"/>
        <w:tabs>
          <w:tab w:leader="none" w:pos="1940" w:val="left"/>
        </w:tabs>
        <w:numPr>
          <w:ilvl w:val="0"/>
          <w:numId w:val="4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Any person or entity entitled to indemnification pursuant to this Subscription Agreement shall (A) give prompt written notice to the indemnifying party of any claim with respect to which it seeks indemnification and (B) unless in such indemnified party’s reasonable judgment a conflict of interest between such indemnified and indemnifying parties may exist with respect to such claim, permit such indemnifying party to assume the defense of such claim with counsel reasonably satisfactory to the indemnified party. If such defense is assumed, the indemnifying party shall not be subject to any liability for any settlement made by the indemnified party without its consent (but such consent shall not be unreasonably withheld, conditioned or delayed). Notwithstanding the foregoing, the failure to give prompt notice shall not impair any person’s or entity’s right to indemnification under this Subscription Agreement to the extent such failure has not prejudiced the indemnifying party. An indemnifying party who is not entitled to, or elects not to, assume the defense of a claim shall not be obligated to pay the fees and expenses of more than one counsel for all parties indemnified by such indemnifying party with respect to such claim, unless in the reasonable judgment of any indemnified party a conflict of interest may exist between such indemnified party and any other of such indemnified parties with respect to such claim. Without the consent of the indemnified party, no indemnifying party shall consent to the entry of any judgment or enter into any settlement which cannot be settled in all respects by the payment of money (and such money is so paid by the indemnifying party pursuant to the terms of such settlement) or which settlement includes a statement or admission of fault and culpability on the part of such indemnified party or which does not include an unconditional release of the indemnified party from all liability in respect to such claim or litigation.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240"/>
          </w:cols>
          <w:pgMar w:left="320" w:top="1413" w:right="339" w:bottom="1440" w:gutter="0" w:footer="0" w:header="0"/>
        </w:sectPr>
      </w:pPr>
    </w:p>
    <w:bookmarkStart w:id="40" w:name="page41"/>
    <w:bookmarkEnd w:id="40"/>
    <w:p>
      <w:pPr>
        <w:jc w:val="both"/>
        <w:ind w:right="20" w:firstLine="1304"/>
        <w:spacing w:after="0" w:line="261" w:lineRule="auto"/>
        <w:tabs>
          <w:tab w:leader="none" w:pos="1940" w:val="left"/>
        </w:tabs>
        <w:numPr>
          <w:ilvl w:val="1"/>
          <w:numId w:val="4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indemnification provided for under this Subscription Agreement shall remain in full force and effect regardless of any investigation made by or on behalf of the indemnified party or any officer, director or controlling person or entity of such indemnified party and shall survive the transfer of securities.</w:t>
      </w:r>
    </w:p>
    <w:p>
      <w:pPr>
        <w:spacing w:after="0" w:line="181" w:lineRule="exact"/>
        <w:rPr>
          <w:rFonts w:ascii="Times New Roman" w:cs="Times New Roman" w:eastAsia="Times New Roman" w:hAnsi="Times New Roman"/>
          <w:sz w:val="20"/>
          <w:szCs w:val="20"/>
          <w:color w:val="010000"/>
        </w:rPr>
      </w:pPr>
    </w:p>
    <w:p>
      <w:pPr>
        <w:jc w:val="both"/>
        <w:ind w:firstLine="1304"/>
        <w:spacing w:after="0" w:line="264" w:lineRule="auto"/>
        <w:tabs>
          <w:tab w:leader="none" w:pos="1944" w:val="left"/>
        </w:tabs>
        <w:numPr>
          <w:ilvl w:val="1"/>
          <w:numId w:val="48"/>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 xml:space="preserve">If the indemnification provided under this </w:t>
      </w:r>
      <w:r>
        <w:rPr>
          <w:rFonts w:ascii="Times New Roman" w:cs="Times New Roman" w:eastAsia="Times New Roman" w:hAnsi="Times New Roman"/>
          <w:sz w:val="19"/>
          <w:szCs w:val="19"/>
          <w:u w:val="single" w:color="auto"/>
          <w:color w:val="auto"/>
        </w:rPr>
        <w:t>Section 7</w:t>
      </w:r>
      <w:r>
        <w:rPr>
          <w:rFonts w:ascii="Times New Roman" w:cs="Times New Roman" w:eastAsia="Times New Roman" w:hAnsi="Times New Roman"/>
          <w:sz w:val="19"/>
          <w:szCs w:val="19"/>
          <w:color w:val="auto"/>
        </w:rPr>
        <w:t xml:space="preserve"> from the indemnifying party is unavailable or insufficient to hold harmless an indemnified party in respect of any Losses referred to in this </w:t>
      </w:r>
      <w:r>
        <w:rPr>
          <w:rFonts w:ascii="Times New Roman" w:cs="Times New Roman" w:eastAsia="Times New Roman" w:hAnsi="Times New Roman"/>
          <w:sz w:val="19"/>
          <w:szCs w:val="19"/>
          <w:u w:val="single" w:color="auto"/>
          <w:color w:val="auto"/>
        </w:rPr>
        <w:t>Section 7</w:t>
      </w:r>
      <w:r>
        <w:rPr>
          <w:rFonts w:ascii="Times New Roman" w:cs="Times New Roman" w:eastAsia="Times New Roman" w:hAnsi="Times New Roman"/>
          <w:sz w:val="19"/>
          <w:szCs w:val="19"/>
          <w:color w:val="auto"/>
        </w:rPr>
        <w:t xml:space="preserve">, then the indemnifying party, in lieu of indemnifying the indemnified party, shall contribute to the amount paid or payable by the indemnified party as a result of such Losses in such proportion as is appropriate to reflect the relative fault of the indemnifying party and the indemnified party, as well as any other relevant equitable considerations. Notwithstanding the foregoing, the liability of the Investor shall be limited to the net proceeds received by such Investor from the sale of Shares giving rise to such indemnification obligation. The relative fault of the indemnifying party and indemnified party shall be determined by reference to, among other things, whether any action in question, including any untrue or alleged untrue statement of a material fact or omission or alleged omission to state a material fact, was made by (or not made by, in the case of an omission), or relates to information supplied by (or not supplied by, in the case of an omission), such indemnifying party or indemnified party, and the indemnifying party’s and indemnified party’s relative intent, knowledge, access to information and opportunity to correct or prevent such action. Subject to the limitations set forth in this Section 7, the amount paid or payable by a party as a result of the Losses shall be deemed to include any reasonable and documented out-of-pocket legal or other fees, charges or expenses reasonably incurred by such party in connection with any investigation or proceeding. No person guilty of fraudulent misrepresentation (within the meaning of Section 11(f) of the Securities Act) shall be entitled to contribution pursuant to this </w:t>
      </w:r>
      <w:r>
        <w:rPr>
          <w:rFonts w:ascii="Times New Roman" w:cs="Times New Roman" w:eastAsia="Times New Roman" w:hAnsi="Times New Roman"/>
          <w:sz w:val="19"/>
          <w:szCs w:val="19"/>
          <w:u w:val="single" w:color="auto"/>
          <w:color w:val="auto"/>
        </w:rPr>
        <w:t>Section 7(k)</w:t>
      </w:r>
      <w:r>
        <w:rPr>
          <w:rFonts w:ascii="Times New Roman" w:cs="Times New Roman" w:eastAsia="Times New Roman" w:hAnsi="Times New Roman"/>
          <w:sz w:val="19"/>
          <w:szCs w:val="19"/>
          <w:color w:val="auto"/>
        </w:rPr>
        <w:t xml:space="preserve"> from any person or entity who was not guilty of such fraudulent misrepresentation.</w:t>
      </w:r>
    </w:p>
    <w:p>
      <w:pPr>
        <w:spacing w:after="0" w:line="172" w:lineRule="exact"/>
        <w:rPr>
          <w:rFonts w:ascii="Times New Roman" w:cs="Times New Roman" w:eastAsia="Times New Roman" w:hAnsi="Times New Roman"/>
          <w:sz w:val="19"/>
          <w:szCs w:val="19"/>
          <w:color w:val="010000"/>
        </w:rPr>
      </w:pPr>
    </w:p>
    <w:p>
      <w:pPr>
        <w:jc w:val="both"/>
        <w:ind w:firstLine="656"/>
        <w:spacing w:after="0" w:line="251" w:lineRule="auto"/>
        <w:tabs>
          <w:tab w:leader="none" w:pos="1296"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Termination.</w:t>
      </w:r>
      <w:r>
        <w:rPr>
          <w:rFonts w:ascii="Times New Roman" w:cs="Times New Roman" w:eastAsia="Times New Roman" w:hAnsi="Times New Roman"/>
          <w:sz w:val="20"/>
          <w:szCs w:val="20"/>
          <w:color w:val="auto"/>
        </w:rPr>
        <w:t xml:space="preserve"> This Subscription Agreement shall terminate and be void and of no further force and effect, and all rights and obligations of the parties to this Subscription Agreement shall terminate without any further liability on the part of any party in respect thereof, upon the earlier to occur of: (a) upon the mutual written agreement of each of the parties to terminate this Subscription Agreement; or (b) May 11, 2026 (the “</w:t>
      </w:r>
      <w:r>
        <w:rPr>
          <w:rFonts w:ascii="Times New Roman" w:cs="Times New Roman" w:eastAsia="Times New Roman" w:hAnsi="Times New Roman"/>
          <w:sz w:val="20"/>
          <w:szCs w:val="20"/>
          <w:u w:val="single" w:color="auto"/>
          <w:color w:val="auto"/>
        </w:rPr>
        <w:t>Outside Date</w:t>
      </w:r>
      <w:r>
        <w:rPr>
          <w:rFonts w:ascii="Times New Roman" w:cs="Times New Roman" w:eastAsia="Times New Roman" w:hAnsi="Times New Roman"/>
          <w:sz w:val="20"/>
          <w:szCs w:val="20"/>
          <w:color w:val="auto"/>
        </w:rPr>
        <w:t>”), if the Closing has not occurred by such date other than as a result of a breach of Investor’s obligations under this Subscription Agreement (the termination events described in clauses (a)–(b) above, collectively, the “</w:t>
      </w:r>
      <w:r>
        <w:rPr>
          <w:rFonts w:ascii="Times New Roman" w:cs="Times New Roman" w:eastAsia="Times New Roman" w:hAnsi="Times New Roman"/>
          <w:sz w:val="20"/>
          <w:szCs w:val="20"/>
          <w:u w:val="single" w:color="auto"/>
          <w:color w:val="auto"/>
        </w:rPr>
        <w:t>Termination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Events</w:t>
      </w:r>
      <w:r>
        <w:rPr>
          <w:rFonts w:ascii="Times New Roman" w:cs="Times New Roman" w:eastAsia="Times New Roman" w:hAnsi="Times New Roman"/>
          <w:sz w:val="20"/>
          <w:szCs w:val="20"/>
          <w:color w:val="auto"/>
        </w:rPr>
        <w:t xml:space="preserve">”). Nothing in this Subscription Agreement will relieve, however, any party from liability for any willful breach of this Subscription Agreement prior to the time of termination. Each party will be entitled to any remedies at law or in equity to recover losses, liabilities or damages arising from any such willful breach. Upon the occurrence of any Termination Event, this Subscription Agreement shall be void and of no further effect (except that the provisions of </w:t>
      </w:r>
      <w:r>
        <w:rPr>
          <w:rFonts w:ascii="Times New Roman" w:cs="Times New Roman" w:eastAsia="Times New Roman" w:hAnsi="Times New Roman"/>
          <w:sz w:val="20"/>
          <w:szCs w:val="20"/>
          <w:u w:val="single" w:color="auto"/>
          <w:color w:val="auto"/>
        </w:rPr>
        <w:t>Section 7(g)</w:t>
      </w:r>
      <w:r>
        <w:rPr>
          <w:rFonts w:ascii="Times New Roman" w:cs="Times New Roman" w:eastAsia="Times New Roman" w:hAnsi="Times New Roman"/>
          <w:sz w:val="20"/>
          <w:szCs w:val="20"/>
          <w:color w:val="auto"/>
        </w:rPr>
        <w:t xml:space="preserve"> through </w:t>
      </w:r>
      <w:r>
        <w:rPr>
          <w:rFonts w:ascii="Times New Roman" w:cs="Times New Roman" w:eastAsia="Times New Roman" w:hAnsi="Times New Roman"/>
          <w:sz w:val="20"/>
          <w:szCs w:val="20"/>
          <w:u w:val="single" w:color="auto"/>
          <w:color w:val="auto"/>
        </w:rPr>
        <w:t>(k)</w:t>
      </w:r>
      <w:r>
        <w:rPr>
          <w:rFonts w:ascii="Times New Roman" w:cs="Times New Roman" w:eastAsia="Times New Roman" w:hAnsi="Times New Roman"/>
          <w:sz w:val="20"/>
          <w:szCs w:val="20"/>
          <w:color w:val="auto"/>
        </w:rPr>
        <w:t xml:space="preserve">, this </w:t>
      </w:r>
      <w:r>
        <w:rPr>
          <w:rFonts w:ascii="Times New Roman" w:cs="Times New Roman" w:eastAsia="Times New Roman" w:hAnsi="Times New Roman"/>
          <w:sz w:val="20"/>
          <w:szCs w:val="20"/>
          <w:u w:val="single" w:color="auto"/>
          <w:color w:val="auto"/>
        </w:rPr>
        <w:t>Section 8</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Sections 9</w:t>
      </w:r>
      <w:r>
        <w:rPr>
          <w:rFonts w:ascii="Times New Roman" w:cs="Times New Roman" w:eastAsia="Times New Roman" w:hAnsi="Times New Roman"/>
          <w:sz w:val="20"/>
          <w:szCs w:val="20"/>
          <w:color w:val="auto"/>
        </w:rPr>
        <w:t xml:space="preserve"> through </w:t>
      </w:r>
      <w:r>
        <w:rPr>
          <w:rFonts w:ascii="Times New Roman" w:cs="Times New Roman" w:eastAsia="Times New Roman" w:hAnsi="Times New Roman"/>
          <w:sz w:val="20"/>
          <w:szCs w:val="20"/>
          <w:u w:val="single" w:color="auto"/>
          <w:color w:val="auto"/>
        </w:rPr>
        <w:t>12</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Section 14</w:t>
      </w:r>
      <w:r>
        <w:rPr>
          <w:rFonts w:ascii="Times New Roman" w:cs="Times New Roman" w:eastAsia="Times New Roman" w:hAnsi="Times New Roman"/>
          <w:sz w:val="20"/>
          <w:szCs w:val="20"/>
          <w:color w:val="auto"/>
        </w:rPr>
        <w:t xml:space="preserve"> of this Subscription Agreement will survive any termination of the Subscription Agreement and continue indefinitely). Following the Termination Event, any monies paid by the Investor to the Company in connection with this Subscription Agreement shall promptly (and in any event within one business day) be returned to the Investor without any deduction for or on account of any tax, withholding, charges, or set-off.</w:t>
      </w:r>
    </w:p>
    <w:p>
      <w:pPr>
        <w:spacing w:after="0" w:line="178"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Miscellaneous</w:t>
      </w:r>
      <w:r>
        <w:rPr>
          <w:rFonts w:ascii="Times New Roman" w:cs="Times New Roman" w:eastAsia="Times New Roman" w:hAnsi="Times New Roman"/>
          <w:sz w:val="20"/>
          <w:szCs w:val="20"/>
          <w:color w:val="auto"/>
        </w:rPr>
        <w:t>.</w:t>
      </w:r>
    </w:p>
    <w:p>
      <w:pPr>
        <w:spacing w:after="0" w:line="28" w:lineRule="exact"/>
        <w:rPr>
          <w:rFonts w:ascii="Times New Roman" w:cs="Times New Roman" w:eastAsia="Times New Roman" w:hAnsi="Times New Roman"/>
          <w:sz w:val="20"/>
          <w:szCs w:val="20"/>
          <w:color w:val="auto"/>
        </w:rPr>
      </w:pPr>
    </w:p>
    <w:p>
      <w:pPr>
        <w:jc w:val="both"/>
        <w:ind w:firstLine="1304"/>
        <w:spacing w:after="0" w:line="253" w:lineRule="auto"/>
        <w:tabs>
          <w:tab w:leader="none" w:pos="1933" w:val="left"/>
        </w:tabs>
        <w:numPr>
          <w:ilvl w:val="1"/>
          <w:numId w:val="4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Neither this Subscription Agreement nor any rights that may accrue to the parties hereunder (other than the Securities acquired under this Subscription Agreement, if any) may be transferred or assigned without the prior written consent of each of the other parties. Notwithstanding the foregoing, this Subscription Agreement and all or a portion of the Investor’s rights and obligations hereunder may be assigned to one or more funds or accounts managed by the same investment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2607945</wp:posOffset>
            </wp:positionH>
            <wp:positionV relativeFrom="paragraph">
              <wp:posOffset>-927735</wp:posOffset>
            </wp:positionV>
            <wp:extent cx="3111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11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240"/>
          </w:cols>
          <w:pgMar w:left="320" w:top="1413" w:right="339" w:bottom="1440" w:gutter="0" w:footer="0" w:header="0"/>
        </w:sectPr>
      </w:pPr>
    </w:p>
    <w:bookmarkStart w:id="41" w:name="page42"/>
    <w:bookmarkEnd w:id="41"/>
    <w:p>
      <w:pPr>
        <w:jc w:val="both"/>
        <w:spacing w:after="0" w:line="258" w:lineRule="auto"/>
        <w:rPr>
          <w:sz w:val="20"/>
          <w:szCs w:val="20"/>
          <w:color w:val="auto"/>
        </w:rPr>
      </w:pPr>
      <w:r>
        <w:rPr>
          <w:rFonts w:ascii="Times New Roman" w:cs="Times New Roman" w:eastAsia="Times New Roman" w:hAnsi="Times New Roman"/>
          <w:sz w:val="20"/>
          <w:szCs w:val="20"/>
          <w:color w:val="auto"/>
        </w:rPr>
        <w:t xml:space="preserve">as the Investor or by or to an affiliate (as defined in Rule 12b-2 of the Exchange Act) of such investment manager without the prior consent of the Company. Prior to such assignment being valid, any such assignee shall agree in writing to be bound by the terms of this Subscription Agreement. Notwithstanding the foregoing, no assignment pursuant to this </w:t>
      </w:r>
      <w:r>
        <w:rPr>
          <w:rFonts w:ascii="Times New Roman" w:cs="Times New Roman" w:eastAsia="Times New Roman" w:hAnsi="Times New Roman"/>
          <w:sz w:val="20"/>
          <w:szCs w:val="20"/>
          <w:u w:val="single" w:color="auto"/>
          <w:color w:val="auto"/>
        </w:rPr>
        <w:t>Section 9(a)</w:t>
      </w:r>
      <w:r>
        <w:rPr>
          <w:rFonts w:ascii="Times New Roman" w:cs="Times New Roman" w:eastAsia="Times New Roman" w:hAnsi="Times New Roman"/>
          <w:sz w:val="20"/>
          <w:szCs w:val="20"/>
          <w:color w:val="auto"/>
        </w:rPr>
        <w:t xml:space="preserve"> shall relieve the Investor of its obligations under this Subscription Agreement.</w:t>
      </w:r>
    </w:p>
    <w:p>
      <w:pPr>
        <w:spacing w:after="0" w:line="172" w:lineRule="exact"/>
        <w:rPr>
          <w:sz w:val="20"/>
          <w:szCs w:val="20"/>
          <w:color w:val="auto"/>
        </w:rPr>
      </w:pPr>
    </w:p>
    <w:p>
      <w:pPr>
        <w:jc w:val="both"/>
        <w:ind w:firstLine="1304"/>
        <w:spacing w:after="0" w:line="251" w:lineRule="auto"/>
        <w:tabs>
          <w:tab w:leader="none" w:pos="1944" w:val="left"/>
        </w:tabs>
        <w:numPr>
          <w:ilvl w:val="0"/>
          <w:numId w:val="5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The Company may request from the Investor such additional information as the Company deems reasonably necessary to register the resale of the Securities and evaluate the eligibility of the Investor to acquire the Securities. Investor agrees to promptly provide such information as may reasonably be requested to the extent readily available. The Company agrees to keep any such information provided by Investor confidential except: (i) as necessary to include in any registration statement the Company is required to file under this Subscription Agreement; (ii) as required by the federal securities law or pursuant to other routine proceedings of regulatory authorities; or (iii) to the extent such disclosure is required by law, at the request of the staff of the SEC or regulatory agency or under the regulations of any national securities exchange on which the Company’s securities are listed for trading. The Investor acknowledges and agrees that if it does not provide the Company with such requested information, the Company may not be able to register the Investor’s Shares or Warrant Shares for resale pursuant to </w:t>
      </w:r>
      <w:r>
        <w:rPr>
          <w:rFonts w:ascii="Times New Roman" w:cs="Times New Roman" w:eastAsia="Times New Roman" w:hAnsi="Times New Roman"/>
          <w:sz w:val="20"/>
          <w:szCs w:val="20"/>
          <w:u w:val="single" w:color="auto"/>
          <w:color w:val="auto"/>
        </w:rPr>
        <w:t>Section 7</w:t>
      </w:r>
      <w:r>
        <w:rPr>
          <w:rFonts w:ascii="Times New Roman" w:cs="Times New Roman" w:eastAsia="Times New Roman" w:hAnsi="Times New Roman"/>
          <w:sz w:val="20"/>
          <w:szCs w:val="20"/>
          <w:color w:val="auto"/>
        </w:rPr>
        <w:t>. Investor also agrees that, without any liability under this Subscription Agreement, the Company may reject the Investor’s Subscription Amount prior to the Closing Date in the event the Investor fails to provide such additional information requested by the Company to evaluate the Investor’s eligibility or the Company determines that the Investor is not eligible. The Investor acknowledges that the Company may file a form of this Subscription Agreement with the SEC as an exhibit to a periodic report or a registration statement of the Company.</w:t>
      </w:r>
    </w:p>
    <w:p>
      <w:pPr>
        <w:spacing w:after="0" w:line="180" w:lineRule="exact"/>
        <w:rPr>
          <w:rFonts w:ascii="Times New Roman" w:cs="Times New Roman" w:eastAsia="Times New Roman" w:hAnsi="Times New Roman"/>
          <w:sz w:val="20"/>
          <w:szCs w:val="20"/>
          <w:color w:val="010000"/>
        </w:rPr>
      </w:pPr>
    </w:p>
    <w:p>
      <w:pPr>
        <w:jc w:val="both"/>
        <w:ind w:firstLine="1304"/>
        <w:spacing w:after="0" w:line="249" w:lineRule="auto"/>
        <w:tabs>
          <w:tab w:leader="none" w:pos="1933" w:val="left"/>
        </w:tabs>
        <w:numPr>
          <w:ilvl w:val="0"/>
          <w:numId w:val="5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The Investor acknowledges that the Company and the Placement Agents will rely on the acknowledgments, understandings, agreements, representations and warranties of the Investor contained in this Subscription Agreement, including </w:t>
      </w:r>
      <w:r>
        <w:rPr>
          <w:rFonts w:ascii="Times New Roman" w:cs="Times New Roman" w:eastAsia="Times New Roman" w:hAnsi="Times New Roman"/>
          <w:sz w:val="20"/>
          <w:szCs w:val="20"/>
          <w:u w:val="single" w:color="auto"/>
          <w:color w:val="auto"/>
        </w:rPr>
        <w:t>Schedule A</w:t>
      </w:r>
      <w:r>
        <w:rPr>
          <w:rFonts w:ascii="Times New Roman" w:cs="Times New Roman" w:eastAsia="Times New Roman" w:hAnsi="Times New Roman"/>
          <w:sz w:val="20"/>
          <w:szCs w:val="20"/>
          <w:color w:val="auto"/>
        </w:rPr>
        <w:t xml:space="preserve">. Prior to the Closing, the Investor agrees to promptly notify the Company if any of the acknowledgments, understandings, agreements, representations and warranties set forth in </w:t>
      </w:r>
      <w:r>
        <w:rPr>
          <w:rFonts w:ascii="Times New Roman" w:cs="Times New Roman" w:eastAsia="Times New Roman" w:hAnsi="Times New Roman"/>
          <w:sz w:val="20"/>
          <w:szCs w:val="20"/>
          <w:u w:val="single" w:color="auto"/>
          <w:color w:val="auto"/>
        </w:rPr>
        <w:t>Section 6</w:t>
      </w:r>
      <w:r>
        <w:rPr>
          <w:rFonts w:ascii="Times New Roman" w:cs="Times New Roman" w:eastAsia="Times New Roman" w:hAnsi="Times New Roman"/>
          <w:sz w:val="20"/>
          <w:szCs w:val="20"/>
          <w:color w:val="auto"/>
        </w:rPr>
        <w:t xml:space="preserve"> above are no longer accurate in any material respect (other than those acknowledgments, understandings, agreements, representations and warranties qualified by materiality, in which case the Investor shall notify the Company if they are no longer accurate in any respect). If the Company receives such notice from Investor, the Company will use commercially reasonable efforts to promptly notify the Placement Agents. The Investor acknowledges and agrees that each purchase by the Investor of Securities from the Company will constitute a reaffirmation of the acknowledgments, understandings, agreements, representations and warranties in this Subscription Agreement (as modified by any such notice) by the Investor as of the time of such purchase contained in this Subscription Agreement. Prior to the Closing, the Company agrees to promptly notify the Investor if any of the acknowledgments, understandings, agreements, representations and warranties set forth in </w:t>
      </w:r>
      <w:r>
        <w:rPr>
          <w:rFonts w:ascii="Times New Roman" w:cs="Times New Roman" w:eastAsia="Times New Roman" w:hAnsi="Times New Roman"/>
          <w:sz w:val="20"/>
          <w:szCs w:val="20"/>
          <w:u w:val="single" w:color="auto"/>
          <w:color w:val="auto"/>
        </w:rPr>
        <w:t>Section 5</w:t>
      </w:r>
      <w:r>
        <w:rPr>
          <w:rFonts w:ascii="Times New Roman" w:cs="Times New Roman" w:eastAsia="Times New Roman" w:hAnsi="Times New Roman"/>
          <w:sz w:val="20"/>
          <w:szCs w:val="20"/>
          <w:color w:val="auto"/>
        </w:rPr>
        <w:t xml:space="preserve"> above are no longer accurate in any material respect (other than those acknowledgments, understandings, agreements, representations and warranties qualified by materiality or Material Adverse Effect, in which case the Company shall notify the Investor if they are no longer accurate in any respect). The Company acknowledges and agrees that each sale by the Company of Securities to the Investor will constitute a reaffirmation of the acknowledgments, understandings, agreements, representations and warranties in this Subscription Agreement (as modified by any such notice) by the Company as of the time of such purchase.</w:t>
      </w:r>
    </w:p>
    <w:p>
      <w:pPr>
        <w:spacing w:after="0" w:line="205" w:lineRule="exact"/>
        <w:rPr>
          <w:rFonts w:ascii="Times New Roman" w:cs="Times New Roman" w:eastAsia="Times New Roman" w:hAnsi="Times New Roman"/>
          <w:sz w:val="20"/>
          <w:szCs w:val="20"/>
          <w:color w:val="010000"/>
        </w:rPr>
      </w:pPr>
    </w:p>
    <w:p>
      <w:pPr>
        <w:jc w:val="both"/>
        <w:ind w:firstLine="1304"/>
        <w:spacing w:after="0" w:line="261" w:lineRule="auto"/>
        <w:tabs>
          <w:tab w:leader="none" w:pos="1944" w:val="left"/>
        </w:tabs>
        <w:numPr>
          <w:ilvl w:val="0"/>
          <w:numId w:val="5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Company, the Investor and the Placement Agents are each entitled to rely upon this Subscription Agreement and each is irrevocably authorized to produce this Subscription Agreement or a copy of this Subscription Agreement to any interested party in any administrative or legal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240"/>
          </w:cols>
          <w:pgMar w:left="320" w:top="1413" w:right="339" w:bottom="1440" w:gutter="0" w:footer="0" w:header="0"/>
        </w:sectPr>
      </w:pPr>
    </w:p>
    <w:bookmarkStart w:id="42" w:name="page43"/>
    <w:bookmarkEnd w:id="42"/>
    <w:p>
      <w:pPr>
        <w:ind w:right="20"/>
        <w:spacing w:after="0" w:line="283" w:lineRule="auto"/>
        <w:rPr>
          <w:sz w:val="20"/>
          <w:szCs w:val="20"/>
          <w:color w:val="auto"/>
        </w:rPr>
      </w:pPr>
      <w:r>
        <w:rPr>
          <w:rFonts w:ascii="Times New Roman" w:cs="Times New Roman" w:eastAsia="Times New Roman" w:hAnsi="Times New Roman"/>
          <w:sz w:val="20"/>
          <w:szCs w:val="20"/>
          <w:color w:val="auto"/>
        </w:rPr>
        <w:t xml:space="preserve">proceeding or official inquiry with respect to the matters covered under this Subscription Agreement. The foregoing clause of this </w:t>
      </w:r>
      <w:r>
        <w:rPr>
          <w:rFonts w:ascii="Times New Roman" w:cs="Times New Roman" w:eastAsia="Times New Roman" w:hAnsi="Times New Roman"/>
          <w:sz w:val="20"/>
          <w:szCs w:val="20"/>
          <w:u w:val="single" w:color="auto"/>
          <w:color w:val="auto"/>
        </w:rPr>
        <w:t>Section 9(d)</w:t>
      </w:r>
      <w:r>
        <w:rPr>
          <w:rFonts w:ascii="Times New Roman" w:cs="Times New Roman" w:eastAsia="Times New Roman" w:hAnsi="Times New Roman"/>
          <w:sz w:val="20"/>
          <w:szCs w:val="20"/>
          <w:color w:val="auto"/>
        </w:rPr>
        <w:t xml:space="preserve"> shall not, however, give the Placement Agents any rights other than those expressly set forth in this Subscription Agreement.</w:t>
      </w:r>
    </w:p>
    <w:p>
      <w:pPr>
        <w:spacing w:after="0" w:line="146" w:lineRule="exact"/>
        <w:rPr>
          <w:sz w:val="20"/>
          <w:szCs w:val="20"/>
          <w:color w:val="auto"/>
        </w:rPr>
      </w:pPr>
    </w:p>
    <w:p>
      <w:pPr>
        <w:jc w:val="both"/>
        <w:ind w:firstLine="1304"/>
        <w:spacing w:after="0" w:line="253" w:lineRule="auto"/>
        <w:tabs>
          <w:tab w:leader="none" w:pos="1933" w:val="left"/>
        </w:tabs>
        <w:numPr>
          <w:ilvl w:val="0"/>
          <w:numId w:val="5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This Subscription Agreement may not be modified, waived or terminated (other than pursuant to the terms of </w:t>
      </w:r>
      <w:r>
        <w:rPr>
          <w:rFonts w:ascii="Times New Roman" w:cs="Times New Roman" w:eastAsia="Times New Roman" w:hAnsi="Times New Roman"/>
          <w:sz w:val="20"/>
          <w:szCs w:val="20"/>
          <w:u w:val="single" w:color="auto"/>
          <w:color w:val="auto"/>
        </w:rPr>
        <w:t>Section 8</w:t>
      </w:r>
      <w:r>
        <w:rPr>
          <w:rFonts w:ascii="Times New Roman" w:cs="Times New Roman" w:eastAsia="Times New Roman" w:hAnsi="Times New Roman"/>
          <w:sz w:val="20"/>
          <w:szCs w:val="20"/>
          <w:color w:val="auto"/>
        </w:rPr>
        <w:t xml:space="preserve"> above) except by an instrument in writing, signed by each of the parties. No failure or delay of either party in exercising any right or remedy under this Subscription Agreement shall operate as a waiver of such right or remedy. Nor shall any single or partial exercise of any such right or power, or any abandonment or discontinuance of steps to enforce such right or power, or any course of conduct, preclude any other or further exercise thereof or the exercise of any other right or power. The rights and remedies of the parties under this Subscription Agreement are cumulative and are not exclusive of any rights or remedies that the parties would otherwise have.</w:t>
      </w:r>
    </w:p>
    <w:p>
      <w:pPr>
        <w:spacing w:after="0" w:line="192" w:lineRule="exact"/>
        <w:rPr>
          <w:rFonts w:ascii="Times New Roman" w:cs="Times New Roman" w:eastAsia="Times New Roman" w:hAnsi="Times New Roman"/>
          <w:sz w:val="20"/>
          <w:szCs w:val="20"/>
          <w:color w:val="010000"/>
        </w:rPr>
      </w:pPr>
    </w:p>
    <w:p>
      <w:pPr>
        <w:jc w:val="both"/>
        <w:ind w:firstLine="1304"/>
        <w:spacing w:after="0" w:line="252" w:lineRule="auto"/>
        <w:tabs>
          <w:tab w:leader="none" w:pos="1938" w:val="left"/>
        </w:tabs>
        <w:numPr>
          <w:ilvl w:val="0"/>
          <w:numId w:val="5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This Subscription Agreement (including </w:t>
      </w:r>
      <w:r>
        <w:rPr>
          <w:rFonts w:ascii="Times New Roman" w:cs="Times New Roman" w:eastAsia="Times New Roman" w:hAnsi="Times New Roman"/>
          <w:sz w:val="20"/>
          <w:szCs w:val="20"/>
          <w:u w:val="single" w:color="auto"/>
          <w:color w:val="auto"/>
        </w:rPr>
        <w:t>Schedule A</w:t>
      </w:r>
      <w:r>
        <w:rPr>
          <w:rFonts w:ascii="Times New Roman" w:cs="Times New Roman" w:eastAsia="Times New Roman" w:hAnsi="Times New Roman"/>
          <w:sz w:val="20"/>
          <w:szCs w:val="20"/>
          <w:color w:val="auto"/>
        </w:rPr>
        <w:t xml:space="preserve">) constitutes the entire agreement, and supersedes all other prior agreements, understandings, representations and warranties, both written and oral, among the parties, with respect to the subject matter of the Subscription Agreement. Except as set forth in Section 7 with respect to any indemnified person, </w:t>
      </w:r>
      <w:r>
        <w:rPr>
          <w:rFonts w:ascii="Times New Roman" w:cs="Times New Roman" w:eastAsia="Times New Roman" w:hAnsi="Times New Roman"/>
          <w:sz w:val="20"/>
          <w:szCs w:val="20"/>
          <w:u w:val="single" w:color="auto"/>
          <w:color w:val="auto"/>
        </w:rPr>
        <w:t>Section 8</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9(c)</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9(d)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9(e)</w:t>
      </w:r>
      <w:r>
        <w:rPr>
          <w:rFonts w:ascii="Times New Roman" w:cs="Times New Roman" w:eastAsia="Times New Roman" w:hAnsi="Times New Roman"/>
          <w:sz w:val="20"/>
          <w:szCs w:val="20"/>
          <w:color w:val="auto"/>
        </w:rPr>
        <w:t xml:space="preserve">, this </w:t>
      </w:r>
      <w:r>
        <w:rPr>
          <w:rFonts w:ascii="Times New Roman" w:cs="Times New Roman" w:eastAsia="Times New Roman" w:hAnsi="Times New Roman"/>
          <w:sz w:val="20"/>
          <w:szCs w:val="20"/>
          <w:u w:val="single" w:color="auto"/>
          <w:color w:val="auto"/>
        </w:rPr>
        <w:t>Section 9(f), the last sentence of Section 9(j)</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Section 10</w:t>
      </w:r>
      <w:r>
        <w:rPr>
          <w:rFonts w:ascii="Times New Roman" w:cs="Times New Roman" w:eastAsia="Times New Roman" w:hAnsi="Times New Roman"/>
          <w:sz w:val="20"/>
          <w:szCs w:val="20"/>
          <w:color w:val="auto"/>
        </w:rPr>
        <w:t xml:space="preserve"> with respect to the persons specifically referenced in that Section, and </w:t>
      </w:r>
      <w:r>
        <w:rPr>
          <w:rFonts w:ascii="Times New Roman" w:cs="Times New Roman" w:eastAsia="Times New Roman" w:hAnsi="Times New Roman"/>
          <w:sz w:val="20"/>
          <w:szCs w:val="20"/>
          <w:u w:val="single" w:color="auto"/>
          <w:color w:val="auto"/>
        </w:rPr>
        <w:t>Section 5</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6</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9(c)</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9(d)</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Section 10</w:t>
      </w:r>
      <w:r>
        <w:rPr>
          <w:rFonts w:ascii="Times New Roman" w:cs="Times New Roman" w:eastAsia="Times New Roman" w:hAnsi="Times New Roman"/>
          <w:sz w:val="20"/>
          <w:szCs w:val="20"/>
          <w:color w:val="auto"/>
        </w:rPr>
        <w:t xml:space="preserve"> with respect to the Placement Agents, this Subscription Agreement shall not confer any rights or remedies upon any person other than the parties, and their respective successors and assigns. The parties acknowledge and agree that only those persons specifically referenced in the preceding sentence are third party beneficiaries of this Subscription Agreement with right of enforcement for the purposes of, and to the extent of, the rights granted to them, if any, pursuant to the applicable provisions.</w:t>
      </w:r>
    </w:p>
    <w:p>
      <w:pPr>
        <w:spacing w:after="0" w:line="175" w:lineRule="exact"/>
        <w:rPr>
          <w:rFonts w:ascii="Times New Roman" w:cs="Times New Roman" w:eastAsia="Times New Roman" w:hAnsi="Times New Roman"/>
          <w:sz w:val="20"/>
          <w:szCs w:val="20"/>
          <w:color w:val="010000"/>
        </w:rPr>
      </w:pPr>
    </w:p>
    <w:p>
      <w:pPr>
        <w:jc w:val="both"/>
        <w:ind w:firstLine="1304"/>
        <w:spacing w:after="0" w:line="258" w:lineRule="auto"/>
        <w:tabs>
          <w:tab w:leader="none" w:pos="1944" w:val="left"/>
        </w:tabs>
        <w:numPr>
          <w:ilvl w:val="0"/>
          <w:numId w:val="5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Except as otherwise provided in this Subscription Agreement, this Subscription Agreement shall be binding upon, and inure to the benefit of the parties and their heirs, executors, administrators, successors, legal representatives, and permitted assigns. The agreements, representations, warranties, covenants and acknowledgments contained in this Subscription Agreement shall be deemed to be made by, and be binding upon, such heirs, executors, administrators, successors, legal representatives and permitted assigns.</w:t>
      </w:r>
    </w:p>
    <w:p>
      <w:pPr>
        <w:spacing w:after="0" w:line="172" w:lineRule="exact"/>
        <w:rPr>
          <w:rFonts w:ascii="Times New Roman" w:cs="Times New Roman" w:eastAsia="Times New Roman" w:hAnsi="Times New Roman"/>
          <w:sz w:val="20"/>
          <w:szCs w:val="20"/>
          <w:color w:val="010000"/>
        </w:rPr>
      </w:pPr>
    </w:p>
    <w:p>
      <w:pPr>
        <w:jc w:val="both"/>
        <w:ind w:firstLine="1304"/>
        <w:spacing w:after="0" w:line="253" w:lineRule="auto"/>
        <w:tabs>
          <w:tab w:leader="none" w:pos="1944" w:val="left"/>
        </w:tabs>
        <w:numPr>
          <w:ilvl w:val="0"/>
          <w:numId w:val="5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If any provision of this Subscription Agreement shall be adjudicated by a court of competent jurisdiction to be invalid, illegal or unenforceable, the validity, legality or enforceability of the remaining provisions of this Subscription Agreement shall not in any way be affected or impaired by such court and shall continue in full force and effect so long as this Subscription Agreement as so modified continues to express, without material change, the original intentions of the parties as to the subject matter of this Subscription Agreement and the prohibited nature, invalidity or unenforceability of the provision(s) in question does not substantially impair the respective expectations or reciprocal obligations of the parties or the practical realization of the benefits that would otherwise be conferred upon the parties. The parties will endeavor in good faith negotiations to replace the prohibited, invalid or unenforceable provision(s) with a valid provision(s), the effect of which comes as close as possible to that of the prohibited, invalid or unenforceable provision(s).</w:t>
      </w:r>
    </w:p>
    <w:p>
      <w:pPr>
        <w:spacing w:after="0" w:line="180" w:lineRule="exact"/>
        <w:rPr>
          <w:rFonts w:ascii="Times New Roman" w:cs="Times New Roman" w:eastAsia="Times New Roman" w:hAnsi="Times New Roman"/>
          <w:sz w:val="20"/>
          <w:szCs w:val="20"/>
          <w:color w:val="010000"/>
        </w:rPr>
      </w:pPr>
    </w:p>
    <w:p>
      <w:pPr>
        <w:jc w:val="both"/>
        <w:ind w:firstLine="1304"/>
        <w:spacing w:after="0" w:line="261" w:lineRule="auto"/>
        <w:tabs>
          <w:tab w:leader="none" w:pos="1940" w:val="left"/>
        </w:tabs>
        <w:numPr>
          <w:ilvl w:val="0"/>
          <w:numId w:val="5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This Subscription Agreement may be executed and delivered in one or more counterparts (including by facsimile or any other form of electronic delivery (including.pdf or any electronic signature complying with the U.S. federal ESIGN Act of 2000, e.g., www.docusign.com or other transmission method)) and by different parties in separate counterparts, with the same effect as if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240"/>
          </w:cols>
          <w:pgMar w:left="320" w:top="1413" w:right="339" w:bottom="1440" w:gutter="0" w:footer="0" w:header="0"/>
        </w:sectPr>
      </w:pPr>
    </w:p>
    <w:bookmarkStart w:id="43" w:name="page44"/>
    <w:bookmarkEnd w:id="43"/>
    <w:p>
      <w:pPr>
        <w:spacing w:after="0" w:line="283" w:lineRule="auto"/>
        <w:rPr>
          <w:sz w:val="20"/>
          <w:szCs w:val="20"/>
          <w:color w:val="auto"/>
        </w:rPr>
      </w:pPr>
      <w:r>
        <w:rPr>
          <w:rFonts w:ascii="Times New Roman" w:cs="Times New Roman" w:eastAsia="Times New Roman" w:hAnsi="Times New Roman"/>
          <w:sz w:val="20"/>
          <w:szCs w:val="20"/>
          <w:color w:val="auto"/>
        </w:rPr>
        <w:t>parties hereto had signed the same document. All counterparts so executed and delivered shall be construed together and shall constitute one and the same agreement.</w:t>
      </w:r>
    </w:p>
    <w:p>
      <w:pPr>
        <w:spacing w:after="0" w:line="146" w:lineRule="exact"/>
        <w:rPr>
          <w:sz w:val="20"/>
          <w:szCs w:val="20"/>
          <w:color w:val="auto"/>
        </w:rPr>
      </w:pPr>
    </w:p>
    <w:p>
      <w:pPr>
        <w:jc w:val="both"/>
        <w:ind w:firstLine="1304"/>
        <w:spacing w:after="0" w:line="253" w:lineRule="auto"/>
        <w:tabs>
          <w:tab w:leader="none" w:pos="1940" w:val="left"/>
        </w:tabs>
        <w:numPr>
          <w:ilvl w:val="0"/>
          <w:numId w:val="5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parties acknowledge and agree that irreparable damage would occur in the event that any of the provisions of this Subscription Agreement were not performed in accordance with their specific terms or were otherwise breached. Consequently, the parties acknowledge and agree that a party shall be entitled to an injunction or injunctions to prevent breaches of this Subscription Agreement, without posting a bond or undertaking and without proof of damages, to enforce specifically the terms and provisions of this Subscription Agreement. The parties also acknowledge and agree that the foregoing equitable remedies shall be in addition to any other remedy to which such party is entitled at law, in equity, in contract, in tort or otherwise.</w:t>
      </w:r>
    </w:p>
    <w:p>
      <w:pPr>
        <w:spacing w:after="0" w:line="192" w:lineRule="exact"/>
        <w:rPr>
          <w:rFonts w:ascii="Times New Roman" w:cs="Times New Roman" w:eastAsia="Times New Roman" w:hAnsi="Times New Roman"/>
          <w:sz w:val="20"/>
          <w:szCs w:val="20"/>
          <w:color w:val="010000"/>
        </w:rPr>
      </w:pPr>
    </w:p>
    <w:p>
      <w:pPr>
        <w:jc w:val="both"/>
        <w:ind w:firstLine="1304"/>
        <w:spacing w:after="0" w:line="258" w:lineRule="auto"/>
        <w:tabs>
          <w:tab w:leader="none" w:pos="1944" w:val="left"/>
        </w:tabs>
        <w:numPr>
          <w:ilvl w:val="0"/>
          <w:numId w:val="5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This Subscription Agreement shall be governed by and construed in accordance with the laws of the State of Delaware as to all matters (including any action, suit, litigation, arbitration, mediation, claim, charge, complaint, inquiry, proceeding, hearing, audit, investigation or reviews by or before any governmental entity related), including matters of validity, construction, effect, performance and remedies.</w:t>
      </w:r>
    </w:p>
    <w:p>
      <w:pPr>
        <w:spacing w:after="0" w:line="172" w:lineRule="exact"/>
        <w:rPr>
          <w:rFonts w:ascii="Times New Roman" w:cs="Times New Roman" w:eastAsia="Times New Roman" w:hAnsi="Times New Roman"/>
          <w:sz w:val="20"/>
          <w:szCs w:val="20"/>
          <w:color w:val="010000"/>
        </w:rPr>
      </w:pPr>
    </w:p>
    <w:p>
      <w:pPr>
        <w:jc w:val="both"/>
        <w:ind w:firstLine="1304"/>
        <w:spacing w:after="0" w:line="249" w:lineRule="auto"/>
        <w:tabs>
          <w:tab w:leader="none" w:pos="1940" w:val="left"/>
        </w:tabs>
        <w:numPr>
          <w:ilvl w:val="0"/>
          <w:numId w:val="5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Each party under this Subscription Agreement, and any person asserting rights as a third party beneficiary in accordance with </w:t>
      </w:r>
      <w:r>
        <w:rPr>
          <w:rFonts w:ascii="Times New Roman" w:cs="Times New Roman" w:eastAsia="Times New Roman" w:hAnsi="Times New Roman"/>
          <w:sz w:val="20"/>
          <w:szCs w:val="20"/>
          <w:u w:val="single" w:color="auto"/>
          <w:color w:val="auto"/>
        </w:rPr>
        <w:t>Section 9(f)</w:t>
      </w:r>
      <w:r>
        <w:rPr>
          <w:rFonts w:ascii="Times New Roman" w:cs="Times New Roman" w:eastAsia="Times New Roman" w:hAnsi="Times New Roman"/>
          <w:sz w:val="20"/>
          <w:szCs w:val="20"/>
          <w:color w:val="auto"/>
        </w:rPr>
        <w:t xml:space="preserve"> may do so only if he, she or it, irrevocably agrees that any action, suit or proceeding between or among the parties, whether arising in contract, tort or otherwise, arising in connection with any disagreement, dispute, controversy or claim arising out of or relating to this Subscription Agreement or any related document or any of the transactions contemplated under this Subscription Agreement or any related document (“</w:t>
      </w:r>
      <w:r>
        <w:rPr>
          <w:rFonts w:ascii="Times New Roman" w:cs="Times New Roman" w:eastAsia="Times New Roman" w:hAnsi="Times New Roman"/>
          <w:sz w:val="20"/>
          <w:szCs w:val="20"/>
          <w:u w:val="single" w:color="auto"/>
          <w:color w:val="auto"/>
        </w:rPr>
        <w:t>Legal Dispute</w:t>
      </w:r>
      <w:r>
        <w:rPr>
          <w:rFonts w:ascii="Times New Roman" w:cs="Times New Roman" w:eastAsia="Times New Roman" w:hAnsi="Times New Roman"/>
          <w:sz w:val="20"/>
          <w:szCs w:val="20"/>
          <w:color w:val="auto"/>
        </w:rPr>
        <w:t>”) shall be brought exclusively in the Court of Chancery of the State of Delaware and any state appellate court therefrom within the State of Delaware (or, but only if the Court of Chancery of the State of Delaware declines to accept jurisdiction over a particular matter, any federal court within the State of Delaware or, in the event each federal court within the State of Delaware declines to accept jurisdiction over a particular matter, any state court within the State of Delaware) (collectively the “</w:t>
      </w:r>
      <w:r>
        <w:rPr>
          <w:rFonts w:ascii="Times New Roman" w:cs="Times New Roman" w:eastAsia="Times New Roman" w:hAnsi="Times New Roman"/>
          <w:sz w:val="20"/>
          <w:szCs w:val="20"/>
          <w:u w:val="single" w:color="auto"/>
          <w:color w:val="auto"/>
        </w:rPr>
        <w:t>Chosen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Courts</w:t>
      </w:r>
      <w:r>
        <w:rPr>
          <w:rFonts w:ascii="Times New Roman" w:cs="Times New Roman" w:eastAsia="Times New Roman" w:hAnsi="Times New Roman"/>
          <w:sz w:val="20"/>
          <w:szCs w:val="20"/>
          <w:color w:val="auto"/>
        </w:rPr>
        <w:t xml:space="preserve">”). Each party under this Subscription Agreement consents to the jurisdiction of the Chosen Courts in any such suit, action or proceeding. To the fullest extent permitted by law, each party irrevocably waives, any objection that it may now or hereafter have to the laying of the venue of any such suit, action or proceeding in the Chosen Courts or that any such suit, action or proceeding that is brought in the Chosen Courts has been brought in an inconvenient forum. During the period a Legal Dispute that is filed in accordance with this </w:t>
      </w:r>
      <w:r>
        <w:rPr>
          <w:rFonts w:ascii="Times New Roman" w:cs="Times New Roman" w:eastAsia="Times New Roman" w:hAnsi="Times New Roman"/>
          <w:sz w:val="20"/>
          <w:szCs w:val="20"/>
          <w:u w:val="single" w:color="auto"/>
          <w:color w:val="auto"/>
        </w:rPr>
        <w:t>Section 9(l)</w:t>
      </w:r>
      <w:r>
        <w:rPr>
          <w:rFonts w:ascii="Times New Roman" w:cs="Times New Roman" w:eastAsia="Times New Roman" w:hAnsi="Times New Roman"/>
          <w:sz w:val="20"/>
          <w:szCs w:val="20"/>
          <w:color w:val="auto"/>
        </w:rPr>
        <w:t xml:space="preserve"> is pending before the Chosen Courts, all actions, suits or proceedings with respect to such Legal Dispute or any other Legal Dispute, including any counterclaim, cross-claim or interpleader, shall be subject to the exclusive jurisdiction of the Chosen Courts. Each party and any person asserting rights as a third party beneficiary may do so only if he, she or it waives, and shall not assert as a defense in any Legal Dispute, that: (a) such party is not personally subject to the jurisdiction of the Chosen Courts for any reason; (b) such action, suit or proceeding may not be brought or is not maintainable in the Chosen Courts; (c) such party’s property is exempt or immune from execution; (d) such action, suit or proceeding is brought in an inconvenient forum; or (e) the venue of such action, suit or proceeding is improper. A final judgment in any action, suit or proceeding described in this </w:t>
      </w:r>
      <w:r>
        <w:rPr>
          <w:rFonts w:ascii="Times New Roman" w:cs="Times New Roman" w:eastAsia="Times New Roman" w:hAnsi="Times New Roman"/>
          <w:sz w:val="20"/>
          <w:szCs w:val="20"/>
          <w:u w:val="single" w:color="auto"/>
          <w:color w:val="auto"/>
        </w:rPr>
        <w:t>Section 9(l)</w:t>
      </w:r>
      <w:r>
        <w:rPr>
          <w:rFonts w:ascii="Times New Roman" w:cs="Times New Roman" w:eastAsia="Times New Roman" w:hAnsi="Times New Roman"/>
          <w:sz w:val="20"/>
          <w:szCs w:val="20"/>
          <w:color w:val="auto"/>
        </w:rPr>
        <w:t xml:space="preserve"> following the expiration of any period permitted for appeal and subject to any stay during appeal shall be conclusive and may be enforced in other jurisdictions by suit on the judgment or in any other manner provided by applicable laws. EACH OF THE PARTIES AND ANY PERSON ASSERTING RIGHTS AS A THIRD PARTY BENEFICIARY MAY DO SO ONLY IF HE, SHE OR IT IRREVOCABLY AND UNCONDITIONALLY WAIVES ANY RIGHT TO TRIAL BY JURY ON ANY CLAIMS OR COUNTERCLAIMS ASSERTED IN ANY LEGAL DISPUTE RELATING TO THIS SUBSCRIPTION AGREEMENT OR THE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240"/>
          </w:cols>
          <w:pgMar w:left="320" w:top="1413" w:right="339" w:bottom="1440" w:gutter="0" w:footer="0" w:header="0"/>
        </w:sectPr>
      </w:pPr>
    </w:p>
    <w:bookmarkStart w:id="44" w:name="page45"/>
    <w:bookmarkEnd w:id="44"/>
    <w:p>
      <w:pPr>
        <w:jc w:val="both"/>
        <w:spacing w:after="0" w:line="253" w:lineRule="auto"/>
        <w:rPr>
          <w:sz w:val="20"/>
          <w:szCs w:val="20"/>
          <w:color w:val="auto"/>
        </w:rPr>
      </w:pPr>
      <w:r>
        <w:rPr>
          <w:rFonts w:ascii="Times New Roman" w:cs="Times New Roman" w:eastAsia="Times New Roman" w:hAnsi="Times New Roman"/>
          <w:sz w:val="20"/>
          <w:szCs w:val="20"/>
          <w:color w:val="auto"/>
        </w:rPr>
        <w:t>CONTEMPLATED UNDER THIS SUBSCRIPTION AGREEMENT AND FOR ANY COUNTERCLAIM RELATING THERETO. IF THE SUBJECT MATTER OF ANY SUCH LEGAL DISPUTE IS ONE IN WHICH THE WAIVER OF JURY TRIAL IS PROHIBITED, NO PARTY NOR ANY PERSON ASSERTING RIGHTS AS A THIRD PARTY BENEFICIARY SHALL ASSERT IN SUCH LEGAL DISPUTE A NONCOMPULSORY COUNTERCLAIM ARISING OUT OF OR RELATING TO THIS SUBSCRIPTION AGREEMENT OR THE TRANSACTIONS CONTEMPLATED UNDER THIS SUBSCRIPTION AGREEMENT. FURTHERMORE, NO PARTY NOR ANY PERSON ASSERTING RIGHTS AS A THIRD PARTY BENEFICIARY SHALL SEEK TO CONSOLIDATE ANY SUCH LEGAL DISPUTE WITH A SEPARATE ACTION OR OTHER LEGAL PROCEEDING IN WHICH A JURY TRIAL CANNOT BE WAIVED.</w:t>
      </w:r>
    </w:p>
    <w:p>
      <w:pPr>
        <w:spacing w:after="0" w:line="179" w:lineRule="exact"/>
        <w:rPr>
          <w:sz w:val="20"/>
          <w:szCs w:val="20"/>
          <w:color w:val="auto"/>
        </w:rPr>
      </w:pPr>
    </w:p>
    <w:p>
      <w:pPr>
        <w:jc w:val="both"/>
        <w:ind w:firstLine="1304"/>
        <w:spacing w:after="0" w:line="253" w:lineRule="auto"/>
        <w:tabs>
          <w:tab w:leader="none" w:pos="1931" w:val="left"/>
        </w:tabs>
        <w:numPr>
          <w:ilvl w:val="2"/>
          <w:numId w:val="5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Any notice or communication required or permitted under this Subscription Agreement to any Investor shall be in writing and either delivered personally, emailed or sent by overnight mail via a reputable overnight carrier, or sent by certified or registered mail, postage prepaid, to such address(es) or email address(es) set forth on the signature page. Any such communication or notice shall be deemed to be given and received: (i) when so delivered personally; (ii) when sent, with no mail undeliverable or other rejection notice, if sent by email; or (iii) three business days after the date of mailing to the address below or to such other address or addresses as the Investor may hereafter designate by notice to the Company.</w:t>
      </w:r>
    </w:p>
    <w:p>
      <w:pPr>
        <w:spacing w:after="0" w:line="192" w:lineRule="exact"/>
        <w:rPr>
          <w:rFonts w:ascii="Times New Roman" w:cs="Times New Roman" w:eastAsia="Times New Roman" w:hAnsi="Times New Roman"/>
          <w:sz w:val="20"/>
          <w:szCs w:val="20"/>
          <w:color w:val="010000"/>
        </w:rPr>
      </w:pPr>
    </w:p>
    <w:p>
      <w:pPr>
        <w:ind w:left="1300" w:hanging="644"/>
        <w:spacing w:after="0"/>
        <w:tabs>
          <w:tab w:leader="none" w:pos="1300" w:val="left"/>
        </w:tabs>
        <w:numPr>
          <w:ilvl w:val="1"/>
          <w:numId w:val="54"/>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20"/>
          <w:szCs w:val="20"/>
          <w:color w:val="auto"/>
        </w:rPr>
        <w:t>If to the Company, to:</w:t>
      </w:r>
    </w:p>
    <w:p>
      <w:pPr>
        <w:spacing w:after="0" w:line="215" w:lineRule="exact"/>
        <w:rPr>
          <w:rFonts w:ascii="Times New Roman" w:cs="Times New Roman" w:eastAsia="Times New Roman" w:hAnsi="Times New Roman"/>
          <w:sz w:val="18"/>
          <w:szCs w:val="18"/>
          <w:u w:val="single" w:color="auto"/>
          <w:color w:val="auto"/>
        </w:rPr>
      </w:pPr>
    </w:p>
    <w:p>
      <w:pPr>
        <w:ind w:left="1300"/>
        <w:spacing w:after="0"/>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20"/>
          <w:szCs w:val="20"/>
          <w:color w:val="auto"/>
        </w:rPr>
        <w:t>Kodiak AI, Inc.</w:t>
      </w:r>
    </w:p>
    <w:p>
      <w:pPr>
        <w:spacing w:after="0" w:line="28" w:lineRule="exact"/>
        <w:rPr>
          <w:rFonts w:ascii="Times New Roman" w:cs="Times New Roman" w:eastAsia="Times New Roman" w:hAnsi="Times New Roman"/>
          <w:sz w:val="18"/>
          <w:szCs w:val="18"/>
          <w:u w:val="single" w:color="auto"/>
          <w:color w:val="auto"/>
        </w:rPr>
      </w:pPr>
    </w:p>
    <w:p>
      <w:pPr>
        <w:ind w:left="1300" w:right="7800"/>
        <w:spacing w:after="0" w:line="272" w:lineRule="auto"/>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9"/>
          <w:szCs w:val="19"/>
          <w:color w:val="auto"/>
        </w:rPr>
        <w:t>1045 Terra Bella Avenue Mountain View, CA 94043 Attn: Chief Legal Officer</w:t>
      </w:r>
    </w:p>
    <w:p>
      <w:pPr>
        <w:spacing w:after="0" w:line="200" w:lineRule="exact"/>
        <w:rPr>
          <w:rFonts w:ascii="Times New Roman" w:cs="Times New Roman" w:eastAsia="Times New Roman" w:hAnsi="Times New Roman"/>
          <w:sz w:val="18"/>
          <w:szCs w:val="18"/>
          <w:u w:val="single" w:color="auto"/>
          <w:color w:val="auto"/>
        </w:rPr>
      </w:pPr>
    </w:p>
    <w:p>
      <w:pPr>
        <w:ind w:left="1300"/>
        <w:spacing w:after="0"/>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20"/>
          <w:szCs w:val="20"/>
          <w:color w:val="auto"/>
        </w:rPr>
        <w:t>Email: [***]</w:t>
      </w:r>
    </w:p>
    <w:p>
      <w:pPr>
        <w:spacing w:after="0" w:line="238" w:lineRule="exact"/>
        <w:rPr>
          <w:rFonts w:ascii="Times New Roman" w:cs="Times New Roman" w:eastAsia="Times New Roman" w:hAnsi="Times New Roman"/>
          <w:sz w:val="18"/>
          <w:szCs w:val="18"/>
          <w:u w:val="single" w:color="auto"/>
          <w:color w:val="auto"/>
        </w:rPr>
      </w:pPr>
    </w:p>
    <w:p>
      <w:pPr>
        <w:ind w:left="1300" w:hanging="644"/>
        <w:spacing w:after="0"/>
        <w:tabs>
          <w:tab w:leader="none" w:pos="1300" w:val="left"/>
        </w:tabs>
        <w:numPr>
          <w:ilvl w:val="1"/>
          <w:numId w:val="54"/>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20"/>
          <w:szCs w:val="20"/>
          <w:i w:val="1"/>
          <w:iCs w:val="1"/>
          <w:color w:val="auto"/>
        </w:rPr>
        <w:t>with copies (which shall not constitute notice) to</w:t>
      </w:r>
      <w:r>
        <w:rPr>
          <w:rFonts w:ascii="Times New Roman" w:cs="Times New Roman" w:eastAsia="Times New Roman" w:hAnsi="Times New Roman"/>
          <w:sz w:val="20"/>
          <w:szCs w:val="20"/>
          <w:color w:val="auto"/>
        </w:rPr>
        <w:t>:</w:t>
      </w:r>
    </w:p>
    <w:p>
      <w:pPr>
        <w:spacing w:after="0" w:line="233" w:lineRule="exact"/>
        <w:rPr>
          <w:rFonts w:ascii="Times New Roman" w:cs="Times New Roman" w:eastAsia="Times New Roman" w:hAnsi="Times New Roman"/>
          <w:sz w:val="18"/>
          <w:szCs w:val="18"/>
          <w:u w:val="single" w:color="auto"/>
          <w:color w:val="auto"/>
        </w:rPr>
      </w:pPr>
    </w:p>
    <w:p>
      <w:pPr>
        <w:ind w:left="1300" w:right="5140"/>
        <w:spacing w:after="0" w:line="254" w:lineRule="auto"/>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20"/>
          <w:szCs w:val="20"/>
          <w:color w:val="auto"/>
        </w:rPr>
        <w:t>Wilson Sonsini Goodrich &amp; Rosati Professional Corporation 650 Page Mill Road</w:t>
      </w:r>
    </w:p>
    <w:p>
      <w:pPr>
        <w:spacing w:after="0" w:line="1" w:lineRule="exact"/>
        <w:rPr>
          <w:rFonts w:ascii="Times New Roman" w:cs="Times New Roman" w:eastAsia="Times New Roman" w:hAnsi="Times New Roman"/>
          <w:sz w:val="18"/>
          <w:szCs w:val="18"/>
          <w:u w:val="single" w:color="auto"/>
          <w:color w:val="auto"/>
        </w:rPr>
      </w:pPr>
    </w:p>
    <w:p>
      <w:pPr>
        <w:ind w:left="1300"/>
        <w:spacing w:after="0"/>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20"/>
          <w:szCs w:val="20"/>
          <w:color w:val="auto"/>
        </w:rPr>
        <w:t>Palo Alto, CA 94304-1050</w:t>
      </w:r>
    </w:p>
    <w:p>
      <w:pPr>
        <w:spacing w:after="0" w:line="13" w:lineRule="exact"/>
        <w:rPr>
          <w:rFonts w:ascii="Times New Roman" w:cs="Times New Roman" w:eastAsia="Times New Roman" w:hAnsi="Times New Roman"/>
          <w:sz w:val="18"/>
          <w:szCs w:val="18"/>
          <w:u w:val="single" w:color="auto"/>
          <w:color w:val="auto"/>
        </w:rPr>
      </w:pPr>
    </w:p>
    <w:p>
      <w:pPr>
        <w:ind w:left="1300"/>
        <w:spacing w:after="0"/>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20"/>
          <w:szCs w:val="20"/>
          <w:color w:val="auto"/>
        </w:rPr>
        <w:t>Attn: Melissa Rick; Austin March</w:t>
      </w:r>
    </w:p>
    <w:p>
      <w:pPr>
        <w:spacing w:after="0" w:line="6" w:lineRule="exact"/>
        <w:rPr>
          <w:rFonts w:ascii="Times New Roman" w:cs="Times New Roman" w:eastAsia="Times New Roman" w:hAnsi="Times New Roman"/>
          <w:sz w:val="18"/>
          <w:szCs w:val="18"/>
          <w:u w:val="single" w:color="auto"/>
          <w:color w:val="auto"/>
        </w:rPr>
      </w:pPr>
    </w:p>
    <w:p>
      <w:pPr>
        <w:ind w:left="1300"/>
        <w:spacing w:after="0"/>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20"/>
          <w:szCs w:val="20"/>
          <w:color w:val="auto"/>
        </w:rPr>
        <w:t xml:space="preserve">E-mail: </w:t>
      </w:r>
      <w:r>
        <w:rPr>
          <w:rFonts w:ascii="Times New Roman" w:cs="Times New Roman" w:eastAsia="Times New Roman" w:hAnsi="Times New Roman"/>
          <w:sz w:val="17"/>
          <w:szCs w:val="17"/>
          <w:color w:val="auto"/>
        </w:rPr>
        <w:t>[***]</w:t>
      </w:r>
      <w:r>
        <w:rPr>
          <w:rFonts w:ascii="Times New Roman" w:cs="Times New Roman" w:eastAsia="Times New Roman" w:hAnsi="Times New Roman"/>
          <w:sz w:val="20"/>
          <w:szCs w:val="20"/>
          <w:color w:val="auto"/>
        </w:rPr>
        <w:t>;</w:t>
      </w:r>
    </w:p>
    <w:p>
      <w:pPr>
        <w:spacing w:after="0" w:line="6" w:lineRule="exact"/>
        <w:rPr>
          <w:rFonts w:ascii="Times New Roman" w:cs="Times New Roman" w:eastAsia="Times New Roman" w:hAnsi="Times New Roman"/>
          <w:sz w:val="18"/>
          <w:szCs w:val="18"/>
          <w:u w:val="single" w:color="auto"/>
          <w:color w:val="auto"/>
        </w:rPr>
      </w:pPr>
    </w:p>
    <w:p>
      <w:pPr>
        <w:ind w:left="1960"/>
        <w:spacing w:after="0"/>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w:t>
      </w:r>
    </w:p>
    <w:p>
      <w:pPr>
        <w:spacing w:after="0" w:line="236" w:lineRule="exact"/>
        <w:rPr>
          <w:rFonts w:ascii="Times New Roman" w:cs="Times New Roman" w:eastAsia="Times New Roman" w:hAnsi="Times New Roman"/>
          <w:sz w:val="18"/>
          <w:szCs w:val="18"/>
          <w:u w:val="single" w:color="auto"/>
          <w:color w:val="auto"/>
        </w:rPr>
      </w:pPr>
    </w:p>
    <w:p>
      <w:pPr>
        <w:jc w:val="both"/>
        <w:ind w:firstLine="656"/>
        <w:spacing w:after="0" w:line="264" w:lineRule="auto"/>
        <w:tabs>
          <w:tab w:leader="none" w:pos="1287" w:val="left"/>
        </w:tabs>
        <w:numPr>
          <w:ilvl w:val="1"/>
          <w:numId w:val="5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Non-Reliance and Exculpation</w:t>
      </w:r>
      <w:r>
        <w:rPr>
          <w:rFonts w:ascii="Times New Roman" w:cs="Times New Roman" w:eastAsia="Times New Roman" w:hAnsi="Times New Roman"/>
          <w:sz w:val="19"/>
          <w:szCs w:val="19"/>
          <w:color w:val="auto"/>
        </w:rPr>
        <w:t>. The Investor acknowledges that it is not relying upon, and has not relied upon, and is expressly disclaiming reliance on any statement, representation or warranty made by any person, firm or corporation (including, without limitation, the Placement Agents, any of their respective affiliates or any control persons, officers, directors, employees, partners, agents or representatives of any of the foregoing), other than the statements, representations and warranties of the Company expressly contained in this Subscription Agreement, in making its investment or decision to invest in the Company. The Investor acknowledges and agrees that none of</w:t>
      </w:r>
    </w:p>
    <w:p>
      <w:pPr>
        <w:spacing w:after="0" w:line="1" w:lineRule="exact"/>
        <w:rPr>
          <w:rFonts w:ascii="Times New Roman" w:cs="Times New Roman" w:eastAsia="Times New Roman" w:hAnsi="Times New Roman"/>
          <w:sz w:val="19"/>
          <w:szCs w:val="19"/>
          <w:color w:val="auto"/>
        </w:rPr>
      </w:pPr>
    </w:p>
    <w:p>
      <w:pPr>
        <w:jc w:val="both"/>
        <w:ind w:firstLine="8"/>
        <w:spacing w:after="0" w:line="253" w:lineRule="auto"/>
        <w:tabs>
          <w:tab w:leader="none" w:pos="238"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Other Investor pursuant to any Other Subscription Agreements related to the private placement of the Securities (including such Other Investor’s respective affiliates or any control persons, officers, directors, employees, partners, agents or representatives of any of the foregoing), (ii) the Placement Agents, their respective affiliates or any control persons, officers, directors, employees, partners, agents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240"/>
          </w:cols>
          <w:pgMar w:left="320" w:top="1413" w:right="339" w:bottom="1440" w:gutter="0" w:footer="0" w:header="0"/>
        </w:sectPr>
      </w:pPr>
    </w:p>
    <w:bookmarkStart w:id="45" w:name="page46"/>
    <w:bookmarkEnd w:id="45"/>
    <w:p>
      <w:pPr>
        <w:jc w:val="both"/>
        <w:spacing w:after="0" w:line="263" w:lineRule="auto"/>
        <w:rPr>
          <w:sz w:val="20"/>
          <w:szCs w:val="20"/>
          <w:color w:val="auto"/>
        </w:rPr>
      </w:pPr>
      <w:r>
        <w:rPr>
          <w:rFonts w:ascii="Times New Roman" w:cs="Times New Roman" w:eastAsia="Times New Roman" w:hAnsi="Times New Roman"/>
          <w:sz w:val="19"/>
          <w:szCs w:val="19"/>
          <w:color w:val="auto"/>
        </w:rPr>
        <w:t>representatives of any of the foregoing, or (iii) any Non-Party Affiliate (as defined below) other than the Company as expressly provided for in this Subscription Agreement, shall have any liability to the Investor, or to any Other Investor, pursuant to, arising out of or relating to: (x) this Subscription Agreement or any Other Subscription Agreements related to the private placement of the Securities or other Equity Interests; (y) the negotiation of this Subscription Agreement, its subject matter or the private placement of the Securities; or (z) the transactions contemplated under this Subscription Agreement or under any Other Subscription Agreements related to the private placement of the Securities or other Equity Interests. Without limiting the generality of the foregoing, the prohibition on liability set forth in the preceding sentence shall apply only to any action heretofore or hereafter taken or omitted to be taken by any of them in connection with: (i) the purchase of the Securities or with respect to any claim (whether in tort, contract or otherwise) for breach of this Subscription Agreement;</w:t>
      </w:r>
    </w:p>
    <w:p>
      <w:pPr>
        <w:spacing w:after="0" w:line="4" w:lineRule="exact"/>
        <w:rPr>
          <w:sz w:val="20"/>
          <w:szCs w:val="20"/>
          <w:color w:val="auto"/>
        </w:rPr>
      </w:pPr>
    </w:p>
    <w:p>
      <w:pPr>
        <w:jc w:val="both"/>
        <w:ind w:firstLine="8"/>
        <w:spacing w:after="0" w:line="248" w:lineRule="auto"/>
        <w:tabs>
          <w:tab w:leader="none" w:pos="298"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written or oral representations made or alleged to be made in connection with this Subscription Agreement, as expressly provided in this Subscription Agreement; or (iii) any actual or alleged inaccuracies, misstatements or omissions with respect to any information or materials of any kind furnished by the Company, the Placement Agents or any Non-Party Affiliate concerning the Company, the Placement Agents, any of their controlled affiliates, this Subscription Agreement or the transactions contemplated under this Subscription Agreement. “</w:t>
      </w:r>
      <w:r>
        <w:rPr>
          <w:rFonts w:ascii="Times New Roman" w:cs="Times New Roman" w:eastAsia="Times New Roman" w:hAnsi="Times New Roman"/>
          <w:sz w:val="20"/>
          <w:szCs w:val="20"/>
          <w:u w:val="single" w:color="auto"/>
          <w:color w:val="auto"/>
        </w:rPr>
        <w:t>Non-Party Affiliates</w:t>
      </w:r>
      <w:r>
        <w:rPr>
          <w:rFonts w:ascii="Times New Roman" w:cs="Times New Roman" w:eastAsia="Times New Roman" w:hAnsi="Times New Roman"/>
          <w:sz w:val="20"/>
          <w:szCs w:val="20"/>
          <w:color w:val="auto"/>
        </w:rPr>
        <w:t>” means each former, current or future officer, director, employee, partner, member, manager, direct or indirect equityholder or affiliate of the Company, any Placement Agent or any of the Company’s or any Placement Agents’ controlled affiliates or any family member of the foregoing.</w:t>
      </w:r>
    </w:p>
    <w:p>
      <w:pPr>
        <w:spacing w:after="0" w:line="224" w:lineRule="exact"/>
        <w:rPr>
          <w:rFonts w:ascii="Times New Roman" w:cs="Times New Roman" w:eastAsia="Times New Roman" w:hAnsi="Times New Roman"/>
          <w:sz w:val="20"/>
          <w:szCs w:val="20"/>
          <w:color w:val="auto"/>
        </w:rPr>
      </w:pPr>
    </w:p>
    <w:p>
      <w:pPr>
        <w:jc w:val="both"/>
        <w:ind w:firstLine="656"/>
        <w:spacing w:after="0" w:line="249" w:lineRule="auto"/>
        <w:tabs>
          <w:tab w:leader="none" w:pos="1287" w:val="left"/>
        </w:tabs>
        <w:numPr>
          <w:ilvl w:val="1"/>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Disclosure</w:t>
      </w:r>
      <w:r>
        <w:rPr>
          <w:rFonts w:ascii="Times New Roman" w:cs="Times New Roman" w:eastAsia="Times New Roman" w:hAnsi="Times New Roman"/>
          <w:sz w:val="20"/>
          <w:szCs w:val="20"/>
          <w:color w:val="auto"/>
        </w:rPr>
        <w:t>. By 5:30 p.m. (New York City time) on May 7, 2026 (the “</w:t>
      </w:r>
      <w:r>
        <w:rPr>
          <w:rFonts w:ascii="Times New Roman" w:cs="Times New Roman" w:eastAsia="Times New Roman" w:hAnsi="Times New Roman"/>
          <w:sz w:val="20"/>
          <w:szCs w:val="20"/>
          <w:u w:val="single" w:color="auto"/>
          <w:color w:val="auto"/>
        </w:rPr>
        <w:t>Disclosure Time</w:t>
      </w:r>
      <w:r>
        <w:rPr>
          <w:rFonts w:ascii="Times New Roman" w:cs="Times New Roman" w:eastAsia="Times New Roman" w:hAnsi="Times New Roman"/>
          <w:sz w:val="20"/>
          <w:szCs w:val="20"/>
          <w:color w:val="auto"/>
        </w:rPr>
        <w:t>”), the Company shall issue one or more press releases or file with the SEC a Current Report on Form 8-K (collectively, the “</w:t>
      </w:r>
      <w:r>
        <w:rPr>
          <w:rFonts w:ascii="Times New Roman" w:cs="Times New Roman" w:eastAsia="Times New Roman" w:hAnsi="Times New Roman"/>
          <w:sz w:val="20"/>
          <w:szCs w:val="20"/>
          <w:u w:val="single" w:color="auto"/>
          <w:color w:val="auto"/>
        </w:rPr>
        <w:t>Disclosure Document</w:t>
      </w:r>
      <w:r>
        <w:rPr>
          <w:rFonts w:ascii="Times New Roman" w:cs="Times New Roman" w:eastAsia="Times New Roman" w:hAnsi="Times New Roman"/>
          <w:sz w:val="20"/>
          <w:szCs w:val="20"/>
          <w:color w:val="auto"/>
        </w:rPr>
        <w:t xml:space="preserve">”), to the extent not previously disclosed, disclosing all material terms of the transactions contemplated under this Subscription Agreement and by the Other Subscription Agreements and any other material, nonpublic information that the Company or any of their officers, directors, affiliates, employees or agents, including, without limitation, the Placement Agents have provided to the Investor at any time prior to the filing of the Disclosure Document. Upon the issuance of the Disclosure Document, to the knowledge of the Company, the Investor shall not be in possession of any material, non-public information received from the Company or any of their officers, directors, affiliates, employees or agents, including, without limitation, the Placement Agents. Upon the earlier of (i) the Disclosure Time and (ii) the issuance or filing of the Disclosure Document, Investor shall no longer be subject to any confidentiality or similar obligations under any current agreement, whether written or oral, with the Company or any of its affiliates, officers, directors, employees or agents, including, without limitation, the Placement Agents, relating to the transactions contemplated by this Subscription Agreement. Notwithstanding anything in this Subscription Agreement to the contrary, the Company shall not publicly disclose the name of the Investor or any of its affiliates or advisers, or include the name of the Investor or any of its affiliates or advisers in any press release or in any filing with the SEC or any regulatory agency or trading market, without the prior written consent of the Investor, except: (i) as required by the federal securities law or pursuant to other routine proceedings of regulatory authorities; (ii) to the extent such disclosure is required by law, at the request of the staff of the SEC or regulatory agency or under the regulations of any national securities exchange on which the Company’s securities are listed for trading; or (iii) to the extent such announcements or other communications contain only information previously disclosed in a public statement, press release or other communication previously approved in accordance with this </w:t>
      </w:r>
      <w:r>
        <w:rPr>
          <w:rFonts w:ascii="Times New Roman" w:cs="Times New Roman" w:eastAsia="Times New Roman" w:hAnsi="Times New Roman"/>
          <w:sz w:val="20"/>
          <w:szCs w:val="20"/>
          <w:u w:val="single" w:color="auto"/>
          <w:color w:val="auto"/>
        </w:rPr>
        <w:t>Section 11</w:t>
      </w:r>
      <w:r>
        <w:rPr>
          <w:rFonts w:ascii="Times New Roman" w:cs="Times New Roman" w:eastAsia="Times New Roman" w:hAnsi="Times New Roman"/>
          <w:sz w:val="20"/>
          <w:szCs w:val="20"/>
          <w:color w:val="auto"/>
        </w:rPr>
        <w:t>. Prior to any disclosure permitted under subclause (i) or (ii) of the preceding sentence, to the extent permitted under law, the Company shall use commercially reasonable efforts to provide the Investor with prior written notice of such disclosure and shall reasonably consult with the Investor regarding such disclosure.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240"/>
          </w:cols>
          <w:pgMar w:left="320" w:top="1413" w:right="339" w:bottom="1440" w:gutter="0" w:footer="0" w:header="0"/>
        </w:sectPr>
      </w:pPr>
    </w:p>
    <w:bookmarkStart w:id="46" w:name="page47"/>
    <w:bookmarkEnd w:id="46"/>
    <w:p>
      <w:pPr>
        <w:ind w:left="1300" w:hanging="644"/>
        <w:spacing w:after="0"/>
        <w:tabs>
          <w:tab w:leader="none" w:pos="1300"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Additional Agreements.</w:t>
      </w:r>
    </w:p>
    <w:p>
      <w:pPr>
        <w:spacing w:after="0" w:line="229" w:lineRule="exact"/>
        <w:rPr>
          <w:rFonts w:ascii="Times New Roman" w:cs="Times New Roman" w:eastAsia="Times New Roman" w:hAnsi="Times New Roman"/>
          <w:sz w:val="20"/>
          <w:szCs w:val="20"/>
          <w:color w:val="auto"/>
        </w:rPr>
      </w:pPr>
    </w:p>
    <w:p>
      <w:pPr>
        <w:jc w:val="both"/>
        <w:ind w:firstLine="1304"/>
        <w:spacing w:after="0" w:line="249" w:lineRule="auto"/>
        <w:tabs>
          <w:tab w:leader="none" w:pos="1933" w:val="left"/>
        </w:tabs>
        <w:numPr>
          <w:ilvl w:val="1"/>
          <w:numId w:val="5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Subject to Section 11, neither the Company nor any of its controlled affiliates and subsidiaries (if any) (collectively, the “</w:t>
      </w:r>
      <w:r>
        <w:rPr>
          <w:rFonts w:ascii="Times New Roman" w:cs="Times New Roman" w:eastAsia="Times New Roman" w:hAnsi="Times New Roman"/>
          <w:sz w:val="20"/>
          <w:szCs w:val="20"/>
          <w:u w:val="single" w:color="auto"/>
          <w:color w:val="auto"/>
        </w:rPr>
        <w:t>Company Group</w:t>
      </w:r>
      <w:r>
        <w:rPr>
          <w:rFonts w:ascii="Times New Roman" w:cs="Times New Roman" w:eastAsia="Times New Roman" w:hAnsi="Times New Roman"/>
          <w:sz w:val="20"/>
          <w:szCs w:val="20"/>
          <w:color w:val="auto"/>
        </w:rPr>
        <w:t>”) shall identify, or permit any of its employees, agents or representatives to identify, the Investor (whether in connection with the Company or in the Investor’s capacity as an investor in the Company) in any written or oral public communications or issue any press release or other disclosure of the Investor’s name or the name of any of its affiliates, or any derivative of any of the foregoing names (collectively, the “</w:t>
      </w:r>
      <w:r>
        <w:rPr>
          <w:rFonts w:ascii="Times New Roman" w:cs="Times New Roman" w:eastAsia="Times New Roman" w:hAnsi="Times New Roman"/>
          <w:sz w:val="20"/>
          <w:szCs w:val="20"/>
          <w:u w:val="single" w:color="auto"/>
          <w:color w:val="auto"/>
        </w:rPr>
        <w:t>Investor Names</w:t>
      </w:r>
      <w:r>
        <w:rPr>
          <w:rFonts w:ascii="Times New Roman" w:cs="Times New Roman" w:eastAsia="Times New Roman" w:hAnsi="Times New Roman"/>
          <w:sz w:val="20"/>
          <w:szCs w:val="20"/>
          <w:color w:val="auto"/>
        </w:rPr>
        <w:t>”), in each case except: (i) as authorized in writing by the Investor in each such instance (electronic mail to suffice); or (ii) as required by applicable law, legal process or regulatory request (“</w:t>
      </w:r>
      <w:r>
        <w:rPr>
          <w:rFonts w:ascii="Times New Roman" w:cs="Times New Roman" w:eastAsia="Times New Roman" w:hAnsi="Times New Roman"/>
          <w:sz w:val="20"/>
          <w:szCs w:val="20"/>
          <w:u w:val="single" w:color="auto"/>
          <w:color w:val="auto"/>
        </w:rPr>
        <w:t>Applicable Law</w:t>
      </w:r>
      <w:r>
        <w:rPr>
          <w:rFonts w:ascii="Times New Roman" w:cs="Times New Roman" w:eastAsia="Times New Roman" w:hAnsi="Times New Roman"/>
          <w:sz w:val="20"/>
          <w:szCs w:val="20"/>
          <w:color w:val="auto"/>
        </w:rPr>
        <w:t>”). Subject to Section 11, if disclosure is required pursuant the preceding sentence, the disclosing member of the Company Group will, as soon as practicable, notify the Investor of such requirement (except where prohibited by Applicable Law) so that the Investor (or its applicable affiliate) may seek a protective order or other appropriate remedy prior to such disclosure. Notwithstanding the foregoing, the Company may make disclosures to an auditor or governmental or regulatory authority pursuant to any routine investigation, inspection, examination or inquiry without providing the Investor with any notification thereof, unless the Investor is the subject of any such investigation, inspection, examination or inquiry (in which case the preceding sentence shall govern).</w:t>
      </w:r>
    </w:p>
    <w:p>
      <w:pPr>
        <w:spacing w:after="0" w:line="201" w:lineRule="exact"/>
        <w:rPr>
          <w:rFonts w:ascii="Times New Roman" w:cs="Times New Roman" w:eastAsia="Times New Roman" w:hAnsi="Times New Roman"/>
          <w:sz w:val="20"/>
          <w:szCs w:val="20"/>
          <w:color w:val="010000"/>
        </w:rPr>
      </w:pPr>
    </w:p>
    <w:p>
      <w:pPr>
        <w:jc w:val="both"/>
        <w:ind w:firstLine="1304"/>
        <w:spacing w:after="0" w:line="250" w:lineRule="auto"/>
        <w:tabs>
          <w:tab w:leader="none" w:pos="1944" w:val="left"/>
        </w:tabs>
        <w:numPr>
          <w:ilvl w:val="1"/>
          <w:numId w:val="5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Company, on behalf of itself and the other Company Parties, acknowledges and agrees that the acquisition of the Securities and the execution and adoption of this Subscription Agreement are not intended to establish, and shall not establish, an investment advisory relationship by and among, (i) on the one hand, the Investor or any affiliate, or any of its or their members, owners, partners, officers, directors, employees, agents or representatives (each, an “</w:t>
      </w:r>
      <w:r>
        <w:rPr>
          <w:rFonts w:ascii="Times New Roman" w:cs="Times New Roman" w:eastAsia="Times New Roman" w:hAnsi="Times New Roman"/>
          <w:sz w:val="20"/>
          <w:szCs w:val="20"/>
          <w:u w:val="single" w:color="auto"/>
          <w:color w:val="auto"/>
        </w:rPr>
        <w:t>Investor Party</w:t>
      </w:r>
      <w:r>
        <w:rPr>
          <w:rFonts w:ascii="Times New Roman" w:cs="Times New Roman" w:eastAsia="Times New Roman" w:hAnsi="Times New Roman"/>
          <w:sz w:val="20"/>
          <w:szCs w:val="20"/>
          <w:color w:val="auto"/>
        </w:rPr>
        <w:t>”), and (ii) on the other hand, any member of the Company Group or any of their respective officers, directors, shareholders, partners, members, employees, agents or representatives (each, a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Party</w:t>
      </w:r>
      <w:r>
        <w:rPr>
          <w:rFonts w:ascii="Times New Roman" w:cs="Times New Roman" w:eastAsia="Times New Roman" w:hAnsi="Times New Roman"/>
          <w:sz w:val="20"/>
          <w:szCs w:val="20"/>
          <w:color w:val="auto"/>
        </w:rPr>
        <w:t>”), whereby any Investor Party serves as an investment adviser to any Company Party or that would otherwise result in any Investor Party meeting the definition of an investment adviser in Section 202(a)(11) of the Investment Advisers Act of 1940, as amended, with respect to any Company Party. Further, the Company, on behalf of itself and the other Company Parties, acknowledges and agrees that the Company Parties are not relying upon any Investor Party for investment advice, analysis or recommendations regarding any investment or potential investment.</w:t>
      </w:r>
    </w:p>
    <w:p>
      <w:pPr>
        <w:spacing w:after="0" w:line="196" w:lineRule="exact"/>
        <w:rPr>
          <w:rFonts w:ascii="Times New Roman" w:cs="Times New Roman" w:eastAsia="Times New Roman" w:hAnsi="Times New Roman"/>
          <w:sz w:val="20"/>
          <w:szCs w:val="20"/>
          <w:color w:val="010000"/>
        </w:rPr>
      </w:pPr>
    </w:p>
    <w:p>
      <w:pPr>
        <w:jc w:val="both"/>
        <w:ind w:firstLine="1304"/>
        <w:spacing w:after="0" w:line="251" w:lineRule="auto"/>
        <w:tabs>
          <w:tab w:leader="none" w:pos="1933" w:val="left"/>
        </w:tabs>
        <w:numPr>
          <w:ilvl w:val="1"/>
          <w:numId w:val="5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In the event the Investor or any of its affiliates directly or indirectly holds or otherwise beneficially owns or may otherwise be deemed to beneficially own any of the Company’s securities that are subject to beneficial ownership limitations as of the Closing Date and such securityholder may elect to opt out of or otherwise adjust such beneficial ownership limitations, the Investor agrees neither it nor any of its affiliates will elect to opt out of or otherwise reduce such beneficial ownership limitations until the earlier of (i) such time that any required filings under the Hart-Scott-Rodino Antitrust Improvements Act of 1976, as amended, and the rules and regulations promulgated thereunder (“</w:t>
      </w:r>
      <w:r>
        <w:rPr>
          <w:rFonts w:ascii="Times New Roman" w:cs="Times New Roman" w:eastAsia="Times New Roman" w:hAnsi="Times New Roman"/>
          <w:sz w:val="20"/>
          <w:szCs w:val="20"/>
          <w:u w:val="single" w:color="auto"/>
          <w:color w:val="auto"/>
        </w:rPr>
        <w:t>HSR Act</w:t>
      </w:r>
      <w:r>
        <w:rPr>
          <w:rFonts w:ascii="Times New Roman" w:cs="Times New Roman" w:eastAsia="Times New Roman" w:hAnsi="Times New Roman"/>
          <w:sz w:val="20"/>
          <w:szCs w:val="20"/>
          <w:color w:val="auto"/>
        </w:rPr>
        <w:t>”) have been made by the Company and such securityholder, as applicable, and the applicable waiting period (and any extension thereof) has expired or been terminated and (ii) such time that the Company and such securityholder have agreed in writing that no applicable filing or waiting period is required under the HSR Act.</w:t>
      </w:r>
    </w:p>
    <w:p>
      <w:pPr>
        <w:spacing w:after="0" w:line="181" w:lineRule="exact"/>
        <w:rPr>
          <w:rFonts w:ascii="Times New Roman" w:cs="Times New Roman" w:eastAsia="Times New Roman" w:hAnsi="Times New Roman"/>
          <w:sz w:val="20"/>
          <w:szCs w:val="20"/>
          <w:color w:val="010000"/>
        </w:rPr>
      </w:pPr>
    </w:p>
    <w:p>
      <w:pPr>
        <w:jc w:val="both"/>
        <w:ind w:firstLine="1304"/>
        <w:spacing w:after="0" w:line="268" w:lineRule="auto"/>
        <w:tabs>
          <w:tab w:leader="none" w:pos="1944" w:val="left"/>
        </w:tabs>
        <w:numPr>
          <w:ilvl w:val="1"/>
          <w:numId w:val="5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From the date hereof until the Standstill Termination Date, the Company shall not, without the prior written consent of the Investors who purchased at least a majority of the Shares under the Subscription Agreements, issue, enter into any agreement to issue or announce the issuance of any shares of Common Stock or Common Stock Equivalents, in each case other than an Exempt Issuance.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240"/>
          </w:cols>
          <w:pgMar w:left="320" w:top="1413" w:right="339" w:bottom="1440" w:gutter="0" w:footer="0" w:header="0"/>
        </w:sectPr>
      </w:pPr>
    </w:p>
    <w:bookmarkStart w:id="47" w:name="page48"/>
    <w:bookmarkEnd w:id="47"/>
    <w:p>
      <w:pPr>
        <w:jc w:val="both"/>
        <w:ind w:firstLine="1304"/>
        <w:spacing w:after="0" w:line="266" w:lineRule="auto"/>
        <w:tabs>
          <w:tab w:leader="none" w:pos="1933" w:val="left"/>
        </w:tabs>
        <w:numPr>
          <w:ilvl w:val="1"/>
          <w:numId w:val="58"/>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The Investor acknowledges that an affiliate of Ares Holdings L.P. (“</w:t>
      </w:r>
      <w:r>
        <w:rPr>
          <w:rFonts w:ascii="Times New Roman" w:cs="Times New Roman" w:eastAsia="Times New Roman" w:hAnsi="Times New Roman"/>
          <w:sz w:val="19"/>
          <w:szCs w:val="19"/>
          <w:u w:val="single" w:color="auto"/>
          <w:color w:val="auto"/>
        </w:rPr>
        <w:t>Ares</w:t>
      </w:r>
      <w:r>
        <w:rPr>
          <w:rFonts w:ascii="Times New Roman" w:cs="Times New Roman" w:eastAsia="Times New Roman" w:hAnsi="Times New Roman"/>
          <w:sz w:val="19"/>
          <w:szCs w:val="19"/>
          <w:color w:val="auto"/>
        </w:rPr>
        <w:t>”) may enter into a Subscription Agreement, that an employee of an affiliate of Ares is a member of the Company’s board of directors and that an affiliate of Ares has certain other governance rights with the Company. The Investor also acknowledges that Ares may be deemed to be in possession of information regarding the Company that has not been provided to the Investor. Furthermore, because Ares may be deemed to be in possession of nonpublic information regarding the Company in the future, Ares may waive certain rights and privileges under its Subscription Agreement and the Warrant regarding the public disclosure of such information. The Investor acknowledges that neither the provision of information by the Company to Ares or its affiliates nor any waiver by Ares of such rights would result in the terms of Ares’ investment under its Subscription Agreement being more favorable terms to the terms provided to the Investor under this Agreement, including for purposes Section 5(i).</w:t>
      </w:r>
    </w:p>
    <w:p>
      <w:pPr>
        <w:spacing w:after="0" w:line="182" w:lineRule="exact"/>
        <w:rPr>
          <w:rFonts w:ascii="Times New Roman" w:cs="Times New Roman" w:eastAsia="Times New Roman" w:hAnsi="Times New Roman"/>
          <w:sz w:val="19"/>
          <w:szCs w:val="19"/>
          <w:color w:val="010000"/>
        </w:rPr>
      </w:pPr>
    </w:p>
    <w:p>
      <w:pPr>
        <w:ind w:firstLine="656"/>
        <w:spacing w:after="0" w:line="269" w:lineRule="auto"/>
        <w:tabs>
          <w:tab w:leader="none" w:pos="1287"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Definitions.</w:t>
      </w:r>
      <w:r>
        <w:rPr>
          <w:rFonts w:ascii="Times New Roman" w:cs="Times New Roman" w:eastAsia="Times New Roman" w:hAnsi="Times New Roman"/>
          <w:sz w:val="20"/>
          <w:szCs w:val="20"/>
          <w:color w:val="auto"/>
        </w:rPr>
        <w:t xml:space="preserve"> In addition to the terms defined elsewhere in this Subscription Agreement, the following terms have the meanings set forth in this </w:t>
      </w:r>
      <w:r>
        <w:rPr>
          <w:rFonts w:ascii="Times New Roman" w:cs="Times New Roman" w:eastAsia="Times New Roman" w:hAnsi="Times New Roman"/>
          <w:sz w:val="20"/>
          <w:szCs w:val="20"/>
          <w:u w:val="single" w:color="auto"/>
          <w:color w:val="auto"/>
        </w:rPr>
        <w:t>Section 13</w:t>
      </w:r>
      <w:r>
        <w:rPr>
          <w:rFonts w:ascii="Times New Roman" w:cs="Times New Roman" w:eastAsia="Times New Roman" w:hAnsi="Times New Roman"/>
          <w:sz w:val="20"/>
          <w:szCs w:val="20"/>
          <w:color w:val="auto"/>
        </w:rPr>
        <w:t>:</w:t>
      </w:r>
    </w:p>
    <w:p>
      <w:pPr>
        <w:spacing w:after="0" w:line="173" w:lineRule="exact"/>
        <w:rPr>
          <w:sz w:val="20"/>
          <w:szCs w:val="20"/>
          <w:color w:val="auto"/>
        </w:rPr>
      </w:pPr>
    </w:p>
    <w:p>
      <w:pPr>
        <w:jc w:val="both"/>
        <w:ind w:left="340"/>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Business Combination Agreement</w:t>
      </w:r>
      <w:r>
        <w:rPr>
          <w:rFonts w:ascii="Times New Roman" w:cs="Times New Roman" w:eastAsia="Times New Roman" w:hAnsi="Times New Roman"/>
          <w:sz w:val="20"/>
          <w:szCs w:val="20"/>
          <w:color w:val="auto"/>
        </w:rPr>
        <w:t>” means that certain Business Combination Agreement, dated as of April 14, 2025, by and among the Company (or its predecessor), AAC II Merger Sub, Inc. and Kodiak Robotics, Inc.</w:t>
      </w:r>
    </w:p>
    <w:p>
      <w:pPr>
        <w:spacing w:after="0" w:line="38" w:lineRule="exact"/>
        <w:rPr>
          <w:sz w:val="20"/>
          <w:szCs w:val="20"/>
          <w:color w:val="auto"/>
        </w:rPr>
      </w:pPr>
    </w:p>
    <w:p>
      <w:pPr>
        <w:jc w:val="both"/>
        <w:ind w:left="340" w:right="20"/>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business day</w:t>
      </w:r>
      <w:r>
        <w:rPr>
          <w:rFonts w:ascii="Times New Roman" w:cs="Times New Roman" w:eastAsia="Times New Roman" w:hAnsi="Times New Roman"/>
          <w:sz w:val="20"/>
          <w:szCs w:val="20"/>
          <w:color w:val="auto"/>
        </w:rPr>
        <w:t>” means a day other than a Saturday, Sunday or other day on which commercial banks in New York, New York are authorized or required by law to close.</w:t>
      </w:r>
    </w:p>
    <w:p>
      <w:pPr>
        <w:spacing w:after="0" w:line="38" w:lineRule="exact"/>
        <w:rPr>
          <w:sz w:val="20"/>
          <w:szCs w:val="20"/>
          <w:color w:val="auto"/>
        </w:rPr>
      </w:pPr>
    </w:p>
    <w:p>
      <w:pPr>
        <w:jc w:val="both"/>
        <w:ind w:left="340"/>
        <w:spacing w:after="0" w:line="26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Common Stock Equivalents</w:t>
      </w:r>
      <w:r>
        <w:rPr>
          <w:rFonts w:ascii="Times New Roman" w:cs="Times New Roman" w:eastAsia="Times New Roman" w:hAnsi="Times New Roman"/>
          <w:sz w:val="20"/>
          <w:szCs w:val="20"/>
          <w:color w:val="auto"/>
        </w:rPr>
        <w:t>” means any securities of the Company that would entitle the holder thereof to acquire at any time Common Stock, including, without limitation, any debt, preferred stock, right, option, warrant or other instrument that is at any time convertible into or exercisable or exchangeable for, or otherwise entitles the holder thereof to receive, Common Stock.</w:t>
      </w:r>
    </w:p>
    <w:p>
      <w:pPr>
        <w:spacing w:after="0" w:line="53" w:lineRule="exact"/>
        <w:rPr>
          <w:sz w:val="20"/>
          <w:szCs w:val="20"/>
          <w:color w:val="auto"/>
        </w:rPr>
      </w:pPr>
    </w:p>
    <w:p>
      <w:pPr>
        <w:jc w:val="both"/>
        <w:ind w:left="340" w:right="20"/>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Convertible Securities</w:t>
      </w:r>
      <w:r>
        <w:rPr>
          <w:rFonts w:ascii="Times New Roman" w:cs="Times New Roman" w:eastAsia="Times New Roman" w:hAnsi="Times New Roman"/>
          <w:sz w:val="20"/>
          <w:szCs w:val="20"/>
          <w:color w:val="auto"/>
        </w:rPr>
        <w:t>” means any stock or securities (other than Options) directly or indirectly convertible into or exercisable or exchangeable for, or which otherwise entitles the holder thereof to acquire, any shares of Common Stock.</w:t>
      </w:r>
    </w:p>
    <w:p>
      <w:pPr>
        <w:spacing w:after="0" w:line="38" w:lineRule="exact"/>
        <w:rPr>
          <w:sz w:val="20"/>
          <w:szCs w:val="20"/>
          <w:color w:val="auto"/>
        </w:rPr>
      </w:pPr>
    </w:p>
    <w:p>
      <w:pPr>
        <w:jc w:val="both"/>
        <w:ind w:left="340"/>
        <w:spacing w:after="0" w:line="26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Exempt Issuanc</w:t>
      </w:r>
      <w:r>
        <w:rPr>
          <w:rFonts w:ascii="Times New Roman" w:cs="Times New Roman" w:eastAsia="Times New Roman" w:hAnsi="Times New Roman"/>
          <w:sz w:val="19"/>
          <w:szCs w:val="19"/>
          <w:color w:val="auto"/>
        </w:rPr>
        <w:t>e” means the issuance of (a) any securities of the Company to employees, officers or directors, consultants, contractors, vendors or other agents of the Company pursuant to any stock or option plan duly adopted for such purpose, by a majority of the non-employee members of the board of directors of the Company or a majority of the members of a committee of non-employee directors established for such purpose for services rendered to the Company, (b) securities upon the exercise or exchange of or conversion of any securities issued pursuant to the Transaction Documents and/or other securities exercisable or exchangeable for or convertible into shares of Common Stock issued and outstanding on the Closing Date, provided that such securities have not been amended since the Closing Date to increase the number of such securities or to decrease the exercise price, exchange price or conversion price of such securities (other than in connection with stock splits or combinations and automatic adjustments to such terms pursuant to anti-dilution or similar provisions of such securities) or to extend the term of such securities, (c) securities issued to a bona fide commercial counterparty on substantially similar terms as securities issued pursuant to the Transaction Documents, (d) securities pursuant to any merger, acquisition or strategic transaction or partnership approved by a majority of the directors of the Company, provided that any such issuance shall only be to a Person (or to the equityholders of a Person) which is, itself or through its subsidiaries, an operating company or an owner of an asset in a business synergistic with the business of the Company and shall provide to the Company additional benefits in addition to the investment of funds, and provided further that any such securities shall are issued as “restricted securities” (as defined in Rule 144) and carry no registration rights that require or permit the filing of any registration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240"/>
          </w:cols>
          <w:pgMar w:left="320" w:top="1413" w:right="339" w:bottom="1440" w:gutter="0" w:footer="0" w:header="0"/>
        </w:sectPr>
      </w:pPr>
    </w:p>
    <w:bookmarkStart w:id="48" w:name="page49"/>
    <w:bookmarkEnd w:id="48"/>
    <w:p>
      <w:pPr>
        <w:spacing w:after="0" w:line="8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in connection therewith during the prohibition period in Section 12(d), (e) any Earnout RSU or Earnout Stock (each as defined in the Business Combination Agreement) and (f) any securities issued by the Company pursuant to any legal settlement or similar arrangement agreed or entered into by the Company, provided that, in the aggregate, not more than 87,321 shares of Common Stock are issued or deemed issued or issuable upon conversion, settlement, exercise or exchange of any such securities that are Options or Convertible Securities, but any such Exempt Issuance in clauses (a) through (f) shall not include a transaction in which the Company is issuing securities (i) primarily for the purpose of raising capital, including an at-the-market offering, or (ii) to an entity whose primary business is investing in securities.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Options</w:t>
      </w:r>
      <w:r>
        <w:rPr>
          <w:rFonts w:ascii="Times New Roman" w:cs="Times New Roman" w:eastAsia="Times New Roman" w:hAnsi="Times New Roman"/>
          <w:sz w:val="20"/>
          <w:szCs w:val="20"/>
          <w:color w:val="auto"/>
        </w:rPr>
        <w:t>” means any rights, warrants or options to subscribe for or purchase shares of Common Stock or Convertible Securities.</w:t>
      </w:r>
    </w:p>
    <w:p>
      <w:pPr>
        <w:spacing w:after="0" w:line="121"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Person</w:t>
      </w:r>
      <w:r>
        <w:rPr>
          <w:rFonts w:ascii="Times New Roman" w:cs="Times New Roman" w:eastAsia="Times New Roman" w:hAnsi="Times New Roman"/>
          <w:sz w:val="20"/>
          <w:szCs w:val="20"/>
          <w:color w:val="auto"/>
        </w:rPr>
        <w:t>” means an individual or corporation, partnership, trust, incorporated or unincorporated association, joint venture, limited liability company, joint stock company, government (or an agency or subdivision thereof) or other entity of any kind.</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Securities</w:t>
      </w:r>
      <w:r>
        <w:rPr>
          <w:rFonts w:ascii="Times New Roman" w:cs="Times New Roman" w:eastAsia="Times New Roman" w:hAnsi="Times New Roman"/>
          <w:sz w:val="20"/>
          <w:szCs w:val="20"/>
          <w:color w:val="auto"/>
        </w:rPr>
        <w:t>” means the Shares, the Warrant and the Warrant Shares.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Standstill Termination Date</w:t>
      </w:r>
      <w:r>
        <w:rPr>
          <w:rFonts w:ascii="Times New Roman" w:cs="Times New Roman" w:eastAsia="Times New Roman" w:hAnsi="Times New Roman"/>
          <w:sz w:val="20"/>
          <w:szCs w:val="20"/>
          <w:color w:val="auto"/>
        </w:rPr>
        <w:t>” shall mean the date that is three months from the Closing Date.</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Warrant</w:t>
      </w:r>
      <w:r>
        <w:rPr>
          <w:rFonts w:ascii="Times New Roman" w:cs="Times New Roman" w:eastAsia="Times New Roman" w:hAnsi="Times New Roman"/>
          <w:sz w:val="20"/>
          <w:szCs w:val="20"/>
          <w:color w:val="auto"/>
        </w:rPr>
        <w:t xml:space="preserve">” means, the Common Stock purchase warrant delivered to the Investor at the Closing in accordance with the terms of the Subscription Agreement, which Warrant shall be exercisable immediately and have a term of exercise equal to five years, in the form of the Warrant Certificate set forth in </w:t>
      </w:r>
      <w:r>
        <w:rPr>
          <w:rFonts w:ascii="Times New Roman" w:cs="Times New Roman" w:eastAsia="Times New Roman" w:hAnsi="Times New Roman"/>
          <w:sz w:val="20"/>
          <w:szCs w:val="20"/>
          <w:b w:val="1"/>
          <w:bCs w:val="1"/>
          <w:u w:val="single" w:color="auto"/>
          <w:color w:val="auto"/>
        </w:rPr>
        <w:t>Exhibit A</w:t>
      </w:r>
      <w:r>
        <w:rPr>
          <w:rFonts w:ascii="Times New Roman" w:cs="Times New Roman" w:eastAsia="Times New Roman" w:hAnsi="Times New Roman"/>
          <w:sz w:val="20"/>
          <w:szCs w:val="20"/>
          <w:color w:val="auto"/>
        </w:rPr>
        <w:t xml:space="preserve"> to this Subscription Agreement.</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Warrant Shares</w:t>
      </w:r>
      <w:r>
        <w:rPr>
          <w:rFonts w:ascii="Times New Roman" w:cs="Times New Roman" w:eastAsia="Times New Roman" w:hAnsi="Times New Roman"/>
          <w:sz w:val="20"/>
          <w:szCs w:val="20"/>
          <w:color w:val="auto"/>
        </w:rPr>
        <w:t>” means the shares of Common Stock issuable upon exercise of the Warrant.</w:t>
      </w:r>
    </w:p>
    <w:p>
      <w:pPr>
        <w:spacing w:after="0" w:line="200" w:lineRule="exact"/>
        <w:rPr>
          <w:sz w:val="20"/>
          <w:szCs w:val="20"/>
          <w:color w:val="auto"/>
        </w:rPr>
      </w:pPr>
    </w:p>
    <w:p>
      <w:pPr>
        <w:spacing w:after="0" w:line="363"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SIGNATURE PAGES FOLLOW</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0900"/>
          </w:cols>
          <w:pgMar w:left="660" w:top="1440" w:right="339" w:bottom="1440" w:gutter="0" w:footer="0" w:header="0"/>
        </w:sectPr>
      </w:pPr>
    </w:p>
    <w:bookmarkStart w:id="49" w:name="page50"/>
    <w:bookmarkEnd w:id="49"/>
    <w:p>
      <w:pPr>
        <w:ind w:firstLine="648"/>
        <w:spacing w:after="0" w:line="287" w:lineRule="auto"/>
        <w:rPr>
          <w:sz w:val="20"/>
          <w:szCs w:val="20"/>
          <w:color w:val="auto"/>
        </w:rPr>
      </w:pPr>
      <w:r>
        <w:rPr>
          <w:rFonts w:ascii="Times New Roman" w:cs="Times New Roman" w:eastAsia="Times New Roman" w:hAnsi="Times New Roman"/>
          <w:sz w:val="20"/>
          <w:szCs w:val="20"/>
          <w:b w:val="1"/>
          <w:bCs w:val="1"/>
          <w:color w:val="auto"/>
        </w:rPr>
        <w:t>IN WITNESS WHEREOF</w:t>
      </w:r>
      <w:r>
        <w:rPr>
          <w:rFonts w:ascii="Times New Roman" w:cs="Times New Roman" w:eastAsia="Times New Roman" w:hAnsi="Times New Roman"/>
          <w:sz w:val="20"/>
          <w:szCs w:val="20"/>
          <w:color w:val="auto"/>
        </w:rPr>
        <w:t>, the Investor has executed or caused this Subscription Agreement to be executed by its duly authorized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representative as of the date set forth below.</w:t>
      </w:r>
    </w:p>
    <w:p>
      <w:pPr>
        <w:sectPr>
          <w:pgSz w:w="11900" w:h="16838" w:orient="portrait"/>
          <w:cols w:equalWidth="0" w:num="1">
            <w:col w:w="11240"/>
          </w:cols>
          <w:pgMar w:left="320" w:top="1409" w:right="339" w:bottom="1440" w:gutter="0" w:footer="0" w:header="0"/>
        </w:sectPr>
      </w:pPr>
    </w:p>
    <w:p>
      <w:pPr>
        <w:spacing w:after="0" w:line="21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Name of Investor:</w:t>
      </w:r>
    </w:p>
    <w:p>
      <w:pPr>
        <w:spacing w:after="0" w:line="20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color w:val="auto"/>
        </w:rPr>
        <w:t>By:</w:t>
      </w:r>
    </w:p>
    <w:p>
      <w:pPr>
        <w:spacing w:after="0" w:line="6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color w:val="auto"/>
        </w:rPr>
        <w:t>Name:</w:t>
      </w:r>
    </w:p>
    <w:p>
      <w:pPr>
        <w:spacing w:after="0" w:line="6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color w:val="auto"/>
        </w:rPr>
        <w:t>Title:</w:t>
      </w:r>
    </w:p>
    <w:p>
      <w:pPr>
        <w:spacing w:after="0" w:line="200" w:lineRule="exact"/>
        <w:rPr>
          <w:sz w:val="20"/>
          <w:szCs w:val="20"/>
          <w:color w:val="auto"/>
        </w:rPr>
      </w:pPr>
    </w:p>
    <w:p>
      <w:pPr>
        <w:spacing w:after="0" w:line="2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color w:val="auto"/>
        </w:rPr>
        <w:t>Name in which Securities are to be registered (if different):</w:t>
      </w:r>
    </w:p>
    <w:p>
      <w:pPr>
        <w:spacing w:after="0" w:line="2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Investor’s EIN:</w:t>
      </w:r>
    </w:p>
    <w:p>
      <w:pPr>
        <w:spacing w:after="0" w:line="21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Business Address-Street:</w:t>
      </w:r>
    </w:p>
    <w:p>
      <w:pPr>
        <w:spacing w:after="0" w:line="21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City, State, Zip:</w:t>
      </w:r>
    </w:p>
    <w:p>
      <w:pPr>
        <w:spacing w:after="0" w:line="20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color w:val="auto"/>
        </w:rPr>
        <w:t>Attn:</w:t>
      </w:r>
    </w:p>
    <w:p>
      <w:pPr>
        <w:spacing w:after="0" w:line="200" w:lineRule="exact"/>
        <w:rPr>
          <w:sz w:val="20"/>
          <w:szCs w:val="20"/>
          <w:color w:val="auto"/>
        </w:rPr>
      </w:pPr>
    </w:p>
    <w:p>
      <w:pPr>
        <w:spacing w:after="0" w:line="2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Telephone No.:</w:t>
      </w:r>
    </w:p>
    <w:p>
      <w:pPr>
        <w:spacing w:after="0" w:line="20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color w:val="auto"/>
        </w:rPr>
        <w:t>Facsimile No.:</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9"/>
          <w:szCs w:val="19"/>
          <w:color w:val="auto"/>
        </w:rPr>
        <w:t>State/Country of Formation or Domicile: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Date: ________, 2026</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Mailing Address-Street (if different):</w:t>
      </w: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City, State, Zip:</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Attn:</w:t>
      </w:r>
    </w:p>
    <w:p>
      <w:pPr>
        <w:spacing w:after="0" w:line="200" w:lineRule="exact"/>
        <w:rPr>
          <w:sz w:val="20"/>
          <w:szCs w:val="20"/>
          <w:color w:val="auto"/>
        </w:rPr>
      </w:pPr>
    </w:p>
    <w:p>
      <w:pPr>
        <w:spacing w:after="0" w:line="20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Telephone No.:</w:t>
      </w: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Facsimile No.:</w:t>
      </w:r>
    </w:p>
    <w:p>
      <w:pPr>
        <w:spacing w:after="0" w:line="200" w:lineRule="exact"/>
        <w:rPr>
          <w:sz w:val="20"/>
          <w:szCs w:val="20"/>
          <w:color w:val="auto"/>
        </w:rPr>
      </w:pPr>
    </w:p>
    <w:p>
      <w:pPr>
        <w:sectPr>
          <w:pgSz w:w="11900" w:h="16838" w:orient="portrait"/>
          <w:cols w:equalWidth="0" w:num="2">
            <w:col w:w="4980" w:space="720"/>
            <w:col w:w="5540"/>
          </w:cols>
          <w:pgMar w:left="320" w:top="1409" w:right="339" w:bottom="1440" w:gutter="0" w:footer="0" w:header="0"/>
          <w:type w:val="continuous"/>
        </w:sectPr>
      </w:pPr>
    </w:p>
    <w:p>
      <w:pPr>
        <w:spacing w:after="0" w:line="12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color w:val="auto"/>
        </w:rPr>
        <w:t>Email: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color w:val="auto"/>
        </w:rPr>
        <w:t>Aggregate Subscription Amount:</w:t>
      </w:r>
    </w:p>
    <w:p>
      <w:pPr>
        <w:spacing w:after="0" w:line="33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color w:val="auto"/>
        </w:rPr>
        <w:t>Shares of Common Stock:</w:t>
      </w:r>
    </w:p>
    <w:p>
      <w:pPr>
        <w:spacing w:after="0" w:line="324" w:lineRule="exact"/>
        <w:rPr>
          <w:sz w:val="20"/>
          <w:szCs w:val="20"/>
          <w:color w:val="auto"/>
        </w:rPr>
      </w:pPr>
    </w:p>
    <w:p>
      <w:pPr>
        <w:ind w:left="80" w:right="280" w:hanging="4"/>
        <w:spacing w:after="0" w:line="283" w:lineRule="auto"/>
        <w:tabs>
          <w:tab w:leader="none" w:pos="305" w:val="left"/>
        </w:tabs>
        <w:numPr>
          <w:ilvl w:val="0"/>
          <w:numId w:val="60"/>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If at any time Investor would beneficially own in excess of 9.9% of the Common Stock, Investor elects to be subject to the “Maximum Percentage” set forth in Section 11 of the Warrant.</w:t>
      </w:r>
    </w:p>
    <w:p>
      <w:pPr>
        <w:spacing w:after="0" w:line="322"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20"/>
          <w:szCs w:val="20"/>
          <w:color w:val="auto"/>
        </w:rPr>
        <w:t>You must pay the Subscription Amount by wire transfer of United States dollars in immediately available funds to the account specified by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[Signature Page to Subscription Agreement]</w:t>
      </w:r>
    </w:p>
    <w:p>
      <w:pPr>
        <w:sectPr>
          <w:pgSz w:w="11900" w:h="16838" w:orient="portrait"/>
          <w:cols w:equalWidth="0" w:num="1">
            <w:col w:w="11240"/>
          </w:cols>
          <w:pgMar w:left="320" w:top="1409" w:right="339" w:bottom="1440" w:gutter="0" w:footer="0" w:header="0"/>
          <w:type w:val="continuous"/>
        </w:sectPr>
      </w:pPr>
    </w:p>
    <w:bookmarkStart w:id="50" w:name="page51"/>
    <w:bookmarkEnd w:id="50"/>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IN WITNESS WHEREOF, the Company has accepted this Subscription Agreement as of the date set forth below.</w:t>
      </w:r>
    </w:p>
    <w:p>
      <w:pPr>
        <w:spacing w:after="0" w:line="241"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KODIAK AI, INC.</w:t>
      </w:r>
    </w:p>
    <w:p>
      <w:pPr>
        <w:spacing w:after="0" w:line="200" w:lineRule="exact"/>
        <w:rPr>
          <w:sz w:val="20"/>
          <w:szCs w:val="20"/>
          <w:color w:val="auto"/>
        </w:rPr>
      </w:pPr>
    </w:p>
    <w:p>
      <w:pPr>
        <w:spacing w:after="0" w:line="36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By:</w:t>
      </w:r>
    </w:p>
    <w:p>
      <w:pPr>
        <w:spacing w:after="0" w:line="2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Name:</w:t>
      </w:r>
    </w:p>
    <w:p>
      <w:pPr>
        <w:spacing w:after="0" w:line="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Title: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4"/>
          <w:szCs w:val="14"/>
          <w:color w:val="auto"/>
        </w:rPr>
        <w:t>[Signature Page to Subscription Agreement]</w:t>
      </w:r>
    </w:p>
    <w:p>
      <w:pPr>
        <w:sectPr>
          <w:pgSz w:w="11900" w:h="16838" w:orient="portrait"/>
          <w:cols w:equalWidth="0" w:num="1">
            <w:col w:w="10139"/>
          </w:cols>
          <w:pgMar w:left="320" w:top="1440" w:right="1440" w:bottom="1440" w:gutter="0" w:footer="0" w:header="0"/>
        </w:sectPr>
      </w:pPr>
    </w:p>
    <w:bookmarkStart w:id="51" w:name="page52"/>
    <w:bookmarkEnd w:id="51"/>
    <w:p>
      <w:pPr>
        <w:jc w:val="center"/>
        <w:spacing w:after="0"/>
        <w:rPr>
          <w:sz w:val="20"/>
          <w:szCs w:val="20"/>
          <w:color w:val="auto"/>
        </w:rPr>
      </w:pPr>
      <w:r>
        <w:rPr>
          <w:rFonts w:ascii="Times New Roman" w:cs="Times New Roman" w:eastAsia="Times New Roman" w:hAnsi="Times New Roman"/>
          <w:sz w:val="20"/>
          <w:szCs w:val="20"/>
          <w:b w:val="1"/>
          <w:bCs w:val="1"/>
          <w:color w:val="auto"/>
        </w:rPr>
        <w:t>SCHEDULE A</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ELIGIBILITY REPRESENTATIONS OF THE INVESTOR</w:t>
      </w:r>
    </w:p>
    <w:p>
      <w:pPr>
        <w:spacing w:after="0" w:line="24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This Schedule must be completed by Investor and forms a part of the Subscription Agreement to which it is attached. Capitalized terms used and not otherwise defined in this Schedule have the meanings given to them in the Subscription Agreement. The Investor must check the applicable box in either Section A, Section B or Section C below.</w:t>
      </w:r>
    </w:p>
    <w:p>
      <w:pPr>
        <w:spacing w:after="0" w:line="276" w:lineRule="exact"/>
        <w:rPr>
          <w:sz w:val="20"/>
          <w:szCs w:val="20"/>
          <w:color w:val="auto"/>
        </w:rPr>
      </w:pPr>
    </w:p>
    <w:p>
      <w:pPr>
        <w:ind w:left="500" w:hanging="474"/>
        <w:spacing w:after="0"/>
        <w:tabs>
          <w:tab w:leader="none" w:pos="500"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QUALIFIED INSTITUTIONAL BUYER STATUS</w:t>
      </w:r>
    </w:p>
    <w:p>
      <w:pPr>
        <w:spacing w:after="0" w:line="200" w:lineRule="exact"/>
        <w:rPr>
          <w:sz w:val="20"/>
          <w:szCs w:val="20"/>
          <w:color w:val="auto"/>
        </w:rPr>
      </w:pPr>
    </w:p>
    <w:p>
      <w:pPr>
        <w:spacing w:after="0" w:line="2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(Please check the applicable subparagraphs):</w:t>
      </w:r>
    </w:p>
    <w:p>
      <w:pPr>
        <w:spacing w:after="0" w:line="229" w:lineRule="exact"/>
        <w:rPr>
          <w:sz w:val="20"/>
          <w:szCs w:val="20"/>
          <w:color w:val="auto"/>
        </w:rPr>
      </w:pPr>
    </w:p>
    <w:p>
      <w:pPr>
        <w:ind w:left="680" w:hanging="231"/>
        <w:spacing w:after="0"/>
        <w:tabs>
          <w:tab w:leader="none" w:pos="680" w:val="left"/>
        </w:tabs>
        <w:numPr>
          <w:ilvl w:val="1"/>
          <w:numId w:val="62"/>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We are a “qualified institutional buyer” (as defined in Rule 144A under the Securities Act (a “</w:t>
      </w:r>
      <w:r>
        <w:rPr>
          <w:rFonts w:ascii="Times New Roman" w:cs="Times New Roman" w:eastAsia="Times New Roman" w:hAnsi="Times New Roman"/>
          <w:sz w:val="20"/>
          <w:szCs w:val="20"/>
          <w:u w:val="single" w:color="auto"/>
          <w:color w:val="auto"/>
        </w:rPr>
        <w:t>QIB</w:t>
      </w:r>
      <w:r>
        <w:rPr>
          <w:rFonts w:ascii="Times New Roman" w:cs="Times New Roman" w:eastAsia="Times New Roman" w:hAnsi="Times New Roman"/>
          <w:sz w:val="20"/>
          <w:szCs w:val="20"/>
          <w:color w:val="auto"/>
          <w:highlight w:val="white"/>
        </w:rPr>
        <w:t>”)).</w:t>
      </w:r>
    </w:p>
    <w:p>
      <w:pPr>
        <w:spacing w:after="0" w:line="107" w:lineRule="exact"/>
        <w:rPr>
          <w:rFonts w:ascii="MS PGothic" w:cs="MS PGothic" w:eastAsia="MS PGothic" w:hAnsi="MS PGothic"/>
          <w:sz w:val="20"/>
          <w:szCs w:val="20"/>
          <w:color w:val="auto"/>
        </w:rPr>
      </w:pPr>
    </w:p>
    <w:p>
      <w:pPr>
        <w:ind w:left="440" w:firstLine="9"/>
        <w:spacing w:after="0" w:line="283" w:lineRule="auto"/>
        <w:tabs>
          <w:tab w:leader="none" w:pos="665" w:val="left"/>
        </w:tabs>
        <w:numPr>
          <w:ilvl w:val="1"/>
          <w:numId w:val="62"/>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We are subscribing for the Securities as a fiduciary or agent for one or more investor accounts, and each owner of such account is a QIB.</w:t>
      </w:r>
    </w:p>
    <w:p>
      <w:pPr>
        <w:spacing w:after="0" w:line="240" w:lineRule="exact"/>
        <w:rPr>
          <w:rFonts w:ascii="MS PGothic" w:cs="MS PGothic" w:eastAsia="MS PGothic" w:hAnsi="MS PGothic"/>
          <w:sz w:val="20"/>
          <w:szCs w:val="20"/>
          <w:color w:val="auto"/>
        </w:rPr>
      </w:pPr>
    </w:p>
    <w:p>
      <w:pPr>
        <w:ind w:left="480" w:right="6180" w:hanging="454"/>
        <w:spacing w:after="0" w:line="659" w:lineRule="auto"/>
        <w:tabs>
          <w:tab w:leader="none" w:pos="480"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INSTITUTIONAL ACCREDITED INVESTOR STATUS (Please check the applicable subparagraphs):</w:t>
      </w:r>
    </w:p>
    <w:p>
      <w:pPr>
        <w:spacing w:after="0" w:line="46" w:lineRule="exact"/>
        <w:rPr>
          <w:rFonts w:ascii="Times New Roman" w:cs="Times New Roman" w:eastAsia="Times New Roman" w:hAnsi="Times New Roman"/>
          <w:sz w:val="20"/>
          <w:szCs w:val="20"/>
          <w:color w:val="auto"/>
        </w:rPr>
      </w:pPr>
    </w:p>
    <w:p>
      <w:pPr>
        <w:jc w:val="both"/>
        <w:ind w:left="480" w:right="460" w:firstLine="5"/>
        <w:spacing w:after="0" w:line="261" w:lineRule="auto"/>
        <w:tabs>
          <w:tab w:leader="none" w:pos="718" w:val="left"/>
        </w:tabs>
        <w:numPr>
          <w:ilvl w:val="2"/>
          <w:numId w:val="62"/>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We are an “accredited investor” (within the meaning of Rule 501(a) under the Securities Act or an entity in which all of the equity holders are accredited investors within the meaning of Rule 501(a) (1), (2), (3) or (7) under the Securities Act), and have marked and initialed the appropriate box on the following page indicating the provision under which we qualify as an “accredited investor.”</w:t>
      </w:r>
    </w:p>
    <w:p>
      <w:pPr>
        <w:spacing w:after="0" w:line="39" w:lineRule="exact"/>
        <w:rPr>
          <w:rFonts w:ascii="MS PGothic" w:cs="MS PGothic" w:eastAsia="MS PGothic" w:hAnsi="MS PGothic"/>
          <w:sz w:val="20"/>
          <w:szCs w:val="20"/>
          <w:color w:val="auto"/>
        </w:rPr>
      </w:pPr>
    </w:p>
    <w:p>
      <w:pPr>
        <w:ind w:left="700" w:hanging="215"/>
        <w:spacing w:after="0"/>
        <w:tabs>
          <w:tab w:leader="none" w:pos="700" w:val="left"/>
        </w:tabs>
        <w:numPr>
          <w:ilvl w:val="2"/>
          <w:numId w:val="62"/>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We are not a natural person.</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Rule 501(a) under the Securities Act, in relevant part, states that an “accredited investor” shall mean any person who comes within any of the below listed categories, or who the issuer reasonably believes comes within any of the below listed categories, at the time of the sale of the securities to that person. The Investor has indicated, by marking and initialing the appropriate box below, the provision(s) below which apply to the Investor and under which the Investor accordingly qualifies as an “accredited investor.”</w:t>
      </w:r>
    </w:p>
    <w:p>
      <w:pPr>
        <w:spacing w:after="0" w:line="78" w:lineRule="exact"/>
        <w:rPr>
          <w:sz w:val="20"/>
          <w:szCs w:val="20"/>
          <w:color w:val="auto"/>
        </w:rPr>
      </w:pPr>
    </w:p>
    <w:p>
      <w:pPr>
        <w:ind w:left="440" w:firstLine="9"/>
        <w:spacing w:after="0" w:line="269" w:lineRule="auto"/>
        <w:tabs>
          <w:tab w:leader="none" w:pos="670" w:val="left"/>
        </w:tabs>
        <w:numPr>
          <w:ilvl w:val="0"/>
          <w:numId w:val="63"/>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Any bank, registered broker or dealer, insurance company, registered investment company, business development company, or small business investment company;</w:t>
      </w:r>
    </w:p>
    <w:p>
      <w:pPr>
        <w:spacing w:after="0" w:line="64" w:lineRule="exact"/>
        <w:rPr>
          <w:rFonts w:ascii="MS PGothic" w:cs="MS PGothic" w:eastAsia="MS PGothic" w:hAnsi="MS PGothic"/>
          <w:sz w:val="20"/>
          <w:szCs w:val="20"/>
          <w:color w:val="auto"/>
        </w:rPr>
      </w:pPr>
    </w:p>
    <w:p>
      <w:pPr>
        <w:ind w:left="440" w:right="20" w:firstLine="9"/>
        <w:spacing w:after="0" w:line="279" w:lineRule="auto"/>
        <w:tabs>
          <w:tab w:leader="none" w:pos="675" w:val="left"/>
        </w:tabs>
        <w:numPr>
          <w:ilvl w:val="0"/>
          <w:numId w:val="63"/>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Any plan established and maintained by a state, its political subdivisions, or any agency or instrumentality of a state or its political subdivisions for the benefit of its employees, if such plan has total assets in excess of $5,000,000;</w:t>
      </w:r>
    </w:p>
    <w:p>
      <w:pPr>
        <w:spacing w:after="0" w:line="45" w:lineRule="exact"/>
        <w:rPr>
          <w:rFonts w:ascii="MS PGothic" w:cs="MS PGothic" w:eastAsia="MS PGothic" w:hAnsi="MS PGothic"/>
          <w:sz w:val="20"/>
          <w:szCs w:val="20"/>
          <w:color w:val="auto"/>
        </w:rPr>
      </w:pPr>
    </w:p>
    <w:p>
      <w:pPr>
        <w:ind w:left="440" w:right="20" w:firstLine="9"/>
        <w:spacing w:after="0" w:line="283" w:lineRule="auto"/>
        <w:tabs>
          <w:tab w:leader="none" w:pos="690" w:val="left"/>
        </w:tabs>
        <w:numPr>
          <w:ilvl w:val="0"/>
          <w:numId w:val="63"/>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Any employee benefit plan, within the meaning of the Employee Retirement Income Security Act of 1974, if a bank, insurance company, or registered investment adviser makes the investment decisions, or if the plan has total assets in excess of $5,000,000;</w:t>
      </w:r>
    </w:p>
    <w:p>
      <w:pPr>
        <w:sectPr>
          <w:pgSz w:w="11900" w:h="16838" w:orient="portrait"/>
          <w:cols w:equalWidth="0" w:num="1">
            <w:col w:w="11240"/>
          </w:cols>
          <w:pgMar w:left="320" w:top="1409" w:right="339" w:bottom="1440" w:gutter="0" w:footer="0" w:header="0"/>
        </w:sectPr>
      </w:pPr>
    </w:p>
    <w:bookmarkStart w:id="52" w:name="page53"/>
    <w:bookmarkEnd w:id="52"/>
    <w:p>
      <w:pPr>
        <w:spacing w:after="0" w:line="81" w:lineRule="exact"/>
        <w:rPr>
          <w:sz w:val="20"/>
          <w:szCs w:val="20"/>
          <w:color w:val="auto"/>
        </w:rPr>
      </w:pPr>
    </w:p>
    <w:p>
      <w:pPr>
        <w:ind w:left="420" w:right="20" w:firstLine="9"/>
        <w:spacing w:after="0" w:line="279" w:lineRule="auto"/>
        <w:tabs>
          <w:tab w:leader="none" w:pos="646" w:val="left"/>
        </w:tabs>
        <w:numPr>
          <w:ilvl w:val="1"/>
          <w:numId w:val="64"/>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Any organization described in Section 501(c)(3) of the Internal Revenue Code, corporation, similar business trust, or partnership, not formed for the specific purpose of acquiring the securities offered, with total assets in excess of $5,000,000; or</w:t>
      </w:r>
    </w:p>
    <w:p>
      <w:pPr>
        <w:spacing w:after="0" w:line="45" w:lineRule="exact"/>
        <w:rPr>
          <w:rFonts w:ascii="MS PGothic" w:cs="MS PGothic" w:eastAsia="MS PGothic" w:hAnsi="MS PGothic"/>
          <w:sz w:val="20"/>
          <w:szCs w:val="20"/>
          <w:color w:val="auto"/>
        </w:rPr>
      </w:pPr>
    </w:p>
    <w:p>
      <w:pPr>
        <w:ind w:left="420" w:firstLine="9"/>
        <w:spacing w:after="0" w:line="283" w:lineRule="auto"/>
        <w:tabs>
          <w:tab w:leader="none" w:pos="686" w:val="left"/>
        </w:tabs>
        <w:numPr>
          <w:ilvl w:val="1"/>
          <w:numId w:val="64"/>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Any trust with assets in excess of $5,000,000, not formed to acquire the securities offered, whose purchase is directed by a sophisticated person.</w:t>
      </w:r>
    </w:p>
    <w:p>
      <w:pPr>
        <w:spacing w:after="0" w:line="200" w:lineRule="exact"/>
        <w:rPr>
          <w:rFonts w:ascii="MS PGothic" w:cs="MS PGothic" w:eastAsia="MS PGothic" w:hAnsi="MS PGothic"/>
          <w:sz w:val="20"/>
          <w:szCs w:val="20"/>
          <w:color w:val="auto"/>
        </w:rPr>
      </w:pPr>
    </w:p>
    <w:p>
      <w:pPr>
        <w:spacing w:after="0" w:line="391" w:lineRule="exact"/>
        <w:rPr>
          <w:rFonts w:ascii="MS PGothic" w:cs="MS PGothic" w:eastAsia="MS PGothic" w:hAnsi="MS PGothic"/>
          <w:sz w:val="20"/>
          <w:szCs w:val="20"/>
          <w:color w:val="auto"/>
        </w:rPr>
      </w:pPr>
    </w:p>
    <w:p>
      <w:pPr>
        <w:ind w:left="460" w:right="7220" w:hanging="454"/>
        <w:spacing w:after="0" w:line="505" w:lineRule="auto"/>
        <w:tabs>
          <w:tab w:leader="none" w:pos="460" w:val="left"/>
        </w:tabs>
        <w:numPr>
          <w:ilvl w:val="0"/>
          <w:numId w:val="6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QUALIFIED PURCHASER STATUS (Please check the applicable subparagraphs):</w:t>
      </w:r>
    </w:p>
    <w:p>
      <w:pPr>
        <w:jc w:val="both"/>
        <w:ind w:left="920" w:right="20" w:hanging="469"/>
        <w:spacing w:after="0" w:line="253" w:lineRule="exact"/>
        <w:tabs>
          <w:tab w:leader="none" w:pos="920" w:val="left"/>
        </w:tabs>
        <w:numPr>
          <w:ilvl w:val="1"/>
          <w:numId w:val="65"/>
        </w:numPr>
        <w:rPr>
          <w:rFonts w:ascii="Times New Roman" w:cs="Times New Roman" w:eastAsia="Times New Roman" w:hAnsi="Times New Roman"/>
          <w:sz w:val="20"/>
          <w:szCs w:val="20"/>
          <w:color w:val="auto"/>
        </w:rPr>
      </w:pP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 xml:space="preserve"> A corporation, partnership, limited liability company, trust or other organization that: (i) was not organized or reorganized and is not operated for the specific purpose of acquiring the interest or any other interest in the Company, and less than 40% of the assets of which will consist of interests in the Company (calculated as of the time of the Investor’s execution of this Subscription Agreement); (ii) owns not less than U.S.$5,000,000 in investments; and (iii)is owned directly or indirectly solely by or for two or more natural persons who are related as siblings or spouses (including former spouses), or direct lineal descendants by birth or adoption, spouses of such persons, the estates of such persons, or foundations, charitable organizations, or trusts established by or for the benefit of such persons.</w:t>
      </w:r>
    </w:p>
    <w:p>
      <w:pPr>
        <w:spacing w:after="0" w:line="348" w:lineRule="exact"/>
        <w:rPr>
          <w:rFonts w:ascii="Times New Roman" w:cs="Times New Roman" w:eastAsia="Times New Roman" w:hAnsi="Times New Roman"/>
          <w:sz w:val="20"/>
          <w:szCs w:val="20"/>
          <w:color w:val="auto"/>
        </w:rPr>
      </w:pPr>
    </w:p>
    <w:p>
      <w:pPr>
        <w:ind w:left="720" w:right="20" w:hanging="316"/>
        <w:spacing w:after="0" w:line="258" w:lineRule="exact"/>
        <w:tabs>
          <w:tab w:leader="none" w:pos="605" w:val="left"/>
        </w:tabs>
        <w:numPr>
          <w:ilvl w:val="0"/>
          <w:numId w:val="66"/>
        </w:numPr>
        <w:rPr>
          <w:rFonts w:ascii="Times New Roman" w:cs="Times New Roman" w:eastAsia="Times New Roman" w:hAnsi="Times New Roman"/>
          <w:sz w:val="20"/>
          <w:szCs w:val="20"/>
          <w:color w:val="auto"/>
        </w:rPr>
      </w:pP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 xml:space="preserve"> A trust: (i) that is not described in paragraph (3) of this Section C; (ii) that was not organized or reorganized and is not operated for the specific purpose of acquiring the interest or any other interest in the Company, and less than 40% of the assets of which will consist of interests in the Company (calculated as of the time of the Investor’s execution of this Subscription Agreement); and (iii) with respect to which each of the settlors and other contributors of assets, trustees, and other authorized decision makers is a person described in paragraph (1), (2) or (3) of this Section C.</w:t>
      </w:r>
    </w:p>
    <w:p>
      <w:pPr>
        <w:spacing w:after="0" w:line="236" w:lineRule="exact"/>
        <w:rPr>
          <w:rFonts w:ascii="Times New Roman" w:cs="Times New Roman" w:eastAsia="Times New Roman" w:hAnsi="Times New Roman"/>
          <w:sz w:val="20"/>
          <w:szCs w:val="20"/>
          <w:color w:val="auto"/>
        </w:rPr>
      </w:pPr>
    </w:p>
    <w:p>
      <w:pPr>
        <w:jc w:val="both"/>
        <w:ind w:left="920" w:right="20" w:hanging="469"/>
        <w:spacing w:after="0" w:line="258" w:lineRule="exact"/>
        <w:tabs>
          <w:tab w:leader="none" w:pos="920" w:val="left"/>
        </w:tabs>
        <w:numPr>
          <w:ilvl w:val="1"/>
          <w:numId w:val="66"/>
        </w:numPr>
        <w:rPr>
          <w:rFonts w:ascii="Times New Roman" w:cs="Times New Roman" w:eastAsia="Times New Roman" w:hAnsi="Times New Roman"/>
          <w:sz w:val="20"/>
          <w:szCs w:val="20"/>
          <w:color w:val="auto"/>
        </w:rPr>
      </w:pP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 xml:space="preserve"> An entity that: (i) was not organized or reorganized and is not operated for the specific purpose of acquiring the interest or any other interest in the Company, and less than 40% of the assets of which will consist of interests in the Company (calculated as of the time of the Investor’s execution of this Subscription Agreement); and (ii) has discretionary investment authority with regard to at least U.S. $25,000,000 of investments, whether for its own account or for the account of other persons that are themselves accurately described by one or more other paragraphs of this Section C.</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i w:val="1"/>
          <w:iCs w:val="1"/>
          <w:color w:val="auto"/>
        </w:rPr>
        <w:t>This page should be completed by the Investor</w:t>
      </w:r>
    </w:p>
    <w:p>
      <w:pPr>
        <w:spacing w:after="0" w:line="2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i w:val="1"/>
          <w:iCs w:val="1"/>
          <w:color w:val="auto"/>
        </w:rPr>
        <w:t>and constitutes a part of the Subscription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220"/>
          </w:cols>
          <w:pgMar w:left="340" w:top="1440" w:right="339" w:bottom="1440" w:gutter="0" w:footer="0" w:header="0"/>
        </w:sectPr>
      </w:pPr>
    </w:p>
    <w:bookmarkStart w:id="53" w:name="page54"/>
    <w:bookmarkEnd w:id="53"/>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Exhibit A</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Form of Warrant</w:t>
      </w:r>
    </w:p>
    <w:p>
      <w:pPr>
        <w:sectPr>
          <w:pgSz w:w="11900" w:h="16838" w:orient="portrait"/>
          <w:cols w:equalWidth="0" w:num="1">
            <w:col w:w="9019"/>
          </w:cols>
          <w:pgMar w:left="1440" w:top="1440" w:right="1440" w:bottom="1440" w:gutter="0" w:footer="0" w:header="0"/>
        </w:sectPr>
      </w:pPr>
    </w:p>
    <w:bookmarkStart w:id="54" w:name="page55"/>
    <w:bookmarkEnd w:id="5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894715</wp:posOffset>
            </wp:positionV>
            <wp:extent cx="1714500" cy="16459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1714500" cy="1645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39"/>
        <w:spacing w:after="0"/>
        <w:rPr>
          <w:sz w:val="20"/>
          <w:szCs w:val="20"/>
          <w:color w:val="auto"/>
        </w:rPr>
      </w:pPr>
      <w:r>
        <w:rPr>
          <w:rFonts w:ascii="Arial" w:cs="Arial" w:eastAsia="Arial" w:hAnsi="Arial"/>
          <w:sz w:val="25"/>
          <w:szCs w:val="25"/>
          <w:b w:val="1"/>
          <w:bCs w:val="1"/>
          <w:color w:val="auto"/>
        </w:rPr>
        <w:t>Kodiak AI Reports First Quarter 2026 Results; Announces $100 Million PIPE Financing</w:t>
      </w:r>
    </w:p>
    <w:p>
      <w:pPr>
        <w:spacing w:after="0" w:line="237" w:lineRule="exact"/>
        <w:rPr>
          <w:sz w:val="20"/>
          <w:szCs w:val="20"/>
          <w:color w:val="auto"/>
        </w:rPr>
      </w:pPr>
    </w:p>
    <w:p>
      <w:pPr>
        <w:ind w:left="660" w:right="180" w:hanging="328"/>
        <w:spacing w:after="0" w:line="272" w:lineRule="auto"/>
        <w:tabs>
          <w:tab w:leader="none" w:pos="655" w:val="left"/>
        </w:tabs>
        <w:numPr>
          <w:ilvl w:val="0"/>
          <w:numId w:val="67"/>
        </w:numPr>
        <w:rPr>
          <w:rFonts w:ascii="Arial" w:cs="Arial" w:eastAsia="Arial" w:hAnsi="Arial"/>
          <w:sz w:val="22"/>
          <w:szCs w:val="22"/>
          <w:color w:val="auto"/>
        </w:rPr>
      </w:pPr>
      <w:r>
        <w:rPr>
          <w:rFonts w:ascii="Arial" w:cs="Arial" w:eastAsia="Arial" w:hAnsi="Arial"/>
          <w:sz w:val="22"/>
          <w:szCs w:val="22"/>
          <w:color w:val="auto"/>
        </w:rPr>
        <w:t>Kodiak Driver deployed in eight additional fully-driverless trucks, for a total of 28 Customer-Owned Driverless Vehicles at the end of Q1</w:t>
      </w:r>
    </w:p>
    <w:p>
      <w:pPr>
        <w:spacing w:after="0" w:line="47" w:lineRule="exact"/>
        <w:rPr>
          <w:rFonts w:ascii="Arial" w:cs="Arial" w:eastAsia="Arial" w:hAnsi="Arial"/>
          <w:sz w:val="22"/>
          <w:szCs w:val="22"/>
          <w:color w:val="auto"/>
        </w:rPr>
      </w:pPr>
    </w:p>
    <w:p>
      <w:pPr>
        <w:ind w:left="660" w:right="320" w:hanging="328"/>
        <w:spacing w:after="0" w:line="285" w:lineRule="auto"/>
        <w:tabs>
          <w:tab w:leader="none" w:pos="655" w:val="left"/>
        </w:tabs>
        <w:numPr>
          <w:ilvl w:val="0"/>
          <w:numId w:val="67"/>
        </w:numPr>
        <w:rPr>
          <w:rFonts w:ascii="Arial" w:cs="Arial" w:eastAsia="Arial" w:hAnsi="Arial"/>
          <w:sz w:val="22"/>
          <w:szCs w:val="22"/>
          <w:color w:val="auto"/>
        </w:rPr>
      </w:pPr>
      <w:r>
        <w:rPr>
          <w:rFonts w:ascii="Arial" w:cs="Arial" w:eastAsia="Arial" w:hAnsi="Arial"/>
          <w:sz w:val="22"/>
          <w:szCs w:val="22"/>
          <w:color w:val="auto"/>
        </w:rPr>
        <w:t>Kodiak Driver-powered trucks accumulated more than 23,500 hours of Cumulative Hours of Paid Driverless Operations, representing a 120% increase over the end of Q4 2025</w:t>
      </w:r>
    </w:p>
    <w:p>
      <w:pPr>
        <w:spacing w:after="0" w:line="236" w:lineRule="exact"/>
        <w:rPr>
          <w:sz w:val="20"/>
          <w:szCs w:val="20"/>
          <w:color w:val="auto"/>
        </w:rPr>
      </w:pPr>
    </w:p>
    <w:p>
      <w:pPr>
        <w:jc w:val="both"/>
        <w:ind w:right="420"/>
        <w:spacing w:after="0" w:line="262" w:lineRule="auto"/>
        <w:rPr>
          <w:sz w:val="20"/>
          <w:szCs w:val="20"/>
          <w:color w:val="auto"/>
        </w:rPr>
      </w:pPr>
      <w:r>
        <w:rPr>
          <w:rFonts w:ascii="Arial" w:cs="Arial" w:eastAsia="Arial" w:hAnsi="Arial"/>
          <w:sz w:val="20"/>
          <w:szCs w:val="20"/>
          <w:b w:val="1"/>
          <w:bCs w:val="1"/>
          <w:color w:val="auto"/>
        </w:rPr>
        <w:t xml:space="preserve">MOUNTAIN VIEW, Calif. (May 7, 2026) </w:t>
      </w:r>
      <w:r>
        <w:rPr>
          <w:rFonts w:ascii="Arial" w:cs="Arial" w:eastAsia="Arial" w:hAnsi="Arial"/>
          <w:sz w:val="20"/>
          <w:szCs w:val="20"/>
          <w:color w:val="auto"/>
        </w:rPr>
        <w:t>—</w:t>
      </w:r>
      <w:r>
        <w:rPr>
          <w:rFonts w:ascii="Arial" w:cs="Arial" w:eastAsia="Arial" w:hAnsi="Arial"/>
          <w:sz w:val="20"/>
          <w:szCs w:val="20"/>
          <w:b w:val="1"/>
          <w:bCs w:val="1"/>
          <w:color w:val="auto"/>
        </w:rPr>
        <w:t xml:space="preserve"> </w:t>
      </w:r>
      <w:r>
        <w:rPr>
          <w:rFonts w:ascii="Arial" w:cs="Arial" w:eastAsia="Arial" w:hAnsi="Arial"/>
          <w:sz w:val="21"/>
          <w:szCs w:val="21"/>
          <w:color w:val="auto"/>
        </w:rPr>
        <w:t>Kodiak AI, Inc. (Nasdaq: KDK), a leading provider of Physical AI-powered</w:t>
      </w:r>
      <w:r>
        <w:rPr>
          <w:rFonts w:ascii="Arial" w:cs="Arial" w:eastAsia="Arial" w:hAnsi="Arial"/>
          <w:sz w:val="20"/>
          <w:szCs w:val="20"/>
          <w:b w:val="1"/>
          <w:bCs w:val="1"/>
          <w:color w:val="auto"/>
        </w:rPr>
        <w:t xml:space="preserve"> </w:t>
      </w:r>
      <w:r>
        <w:rPr>
          <w:rFonts w:ascii="Arial" w:cs="Arial" w:eastAsia="Arial" w:hAnsi="Arial"/>
          <w:sz w:val="21"/>
          <w:szCs w:val="21"/>
          <w:color w:val="auto"/>
        </w:rPr>
        <w:t>autonomous vehicle technology, today announced results for the first quarter of the year, which ended March 31, 2026.</w:t>
      </w:r>
    </w:p>
    <w:p>
      <w:pPr>
        <w:spacing w:after="0" w:line="181" w:lineRule="exact"/>
        <w:rPr>
          <w:sz w:val="20"/>
          <w:szCs w:val="20"/>
          <w:color w:val="auto"/>
        </w:rPr>
      </w:pPr>
    </w:p>
    <w:p>
      <w:pPr>
        <w:ind w:right="280"/>
        <w:spacing w:after="0" w:line="239" w:lineRule="auto"/>
        <w:rPr>
          <w:sz w:val="20"/>
          <w:szCs w:val="20"/>
          <w:color w:val="auto"/>
        </w:rPr>
      </w:pPr>
      <w:r>
        <w:rPr>
          <w:rFonts w:ascii="Arial" w:cs="Arial" w:eastAsia="Arial" w:hAnsi="Arial"/>
          <w:sz w:val="22"/>
          <w:szCs w:val="22"/>
          <w:color w:val="auto"/>
        </w:rPr>
        <w:t>Additionally, Kodiak announced a $100 million common stock and warrant private placement (PIPE) financing, with participation from existing investors, including an affiliate of Ares Management, and several new institutional investors.</w:t>
      </w:r>
    </w:p>
    <w:p>
      <w:pPr>
        <w:spacing w:after="0" w:line="203" w:lineRule="exact"/>
        <w:rPr>
          <w:sz w:val="20"/>
          <w:szCs w:val="20"/>
          <w:color w:val="auto"/>
        </w:rPr>
      </w:pPr>
    </w:p>
    <w:p>
      <w:pPr>
        <w:ind w:right="80"/>
        <w:spacing w:after="0" w:line="245" w:lineRule="auto"/>
        <w:rPr>
          <w:sz w:val="20"/>
          <w:szCs w:val="20"/>
          <w:color w:val="auto"/>
        </w:rPr>
      </w:pPr>
      <w:r>
        <w:rPr>
          <w:rFonts w:ascii="Arial" w:cs="Arial" w:eastAsia="Arial" w:hAnsi="Arial"/>
          <w:sz w:val="22"/>
          <w:szCs w:val="22"/>
          <w:color w:val="auto"/>
        </w:rPr>
        <w:t>During the quarter, Kodiak delivered strong results across both operating and financial metrics. The Company also achieved significant commercial, technology, and partnership milestones across its long-haul, industrial, and defense verticals.</w:t>
      </w:r>
    </w:p>
    <w:p>
      <w:pPr>
        <w:spacing w:after="0" w:line="197" w:lineRule="exact"/>
        <w:rPr>
          <w:sz w:val="20"/>
          <w:szCs w:val="20"/>
          <w:color w:val="auto"/>
        </w:rPr>
      </w:pPr>
    </w:p>
    <w:p>
      <w:pPr>
        <w:spacing w:after="0" w:line="245" w:lineRule="auto"/>
        <w:rPr>
          <w:sz w:val="20"/>
          <w:szCs w:val="20"/>
          <w:color w:val="auto"/>
        </w:rPr>
      </w:pPr>
      <w:r>
        <w:rPr>
          <w:rFonts w:ascii="Arial" w:cs="Arial" w:eastAsia="Arial" w:hAnsi="Arial"/>
          <w:sz w:val="21"/>
          <w:szCs w:val="21"/>
          <w:color w:val="auto"/>
        </w:rPr>
        <w:t>“We delivered significant revenue growth and continued to scale driverless operations in the first quarter, while raising additional capital that will fund our growth,” said Don Burnette, Founder and Chief Executive Officer of Kodiak. “We increased both the scale and productivity of our growing driverless deployment, which now totals 28 fully-driverless trucks in operation. We are executing on our strategy while maturing our Physical AI-powered technology and adopting additional AI tools to further increase the pace of development. We also made significant progress advancing our technology and building out new partnerships that will allow us to efficiently scale across long-haul trucking, industrial trucking, and defense. These include new collaborations across vehicle platforms, industrialized hardware, and AI compute. We remain focused on our long-haul driverless launch targeted for late 2026.”</w:t>
      </w:r>
    </w:p>
    <w:p>
      <w:pPr>
        <w:sectPr>
          <w:pgSz w:w="11900" w:h="16838" w:orient="portrait"/>
          <w:cols w:equalWidth="0" w:num="1">
            <w:col w:w="11220"/>
          </w:cols>
          <w:pgMar w:left="320" w:top="1440" w:right="359" w:bottom="1440" w:gutter="0" w:footer="0" w:header="0"/>
        </w:sectPr>
      </w:pPr>
    </w:p>
    <w:bookmarkStart w:id="55" w:name="page56"/>
    <w:bookmarkEnd w:id="55"/>
    <w:p>
      <w:pPr>
        <w:spacing w:after="0"/>
        <w:rPr>
          <w:sz w:val="20"/>
          <w:szCs w:val="20"/>
          <w:color w:val="auto"/>
        </w:rPr>
      </w:pPr>
      <w:r>
        <w:rPr>
          <w:rFonts w:ascii="Arial" w:cs="Arial" w:eastAsia="Arial" w:hAnsi="Arial"/>
          <w:sz w:val="20"/>
          <w:szCs w:val="20"/>
          <w:b w:val="1"/>
          <w:bCs w:val="1"/>
          <w:color w:val="auto"/>
        </w:rPr>
        <w:t>First Quarter Results and Business Highlights:</w:t>
      </w:r>
    </w:p>
    <w:p>
      <w:pPr>
        <w:spacing w:after="0" w:line="231" w:lineRule="exact"/>
        <w:rPr>
          <w:sz w:val="20"/>
          <w:szCs w:val="20"/>
          <w:color w:val="auto"/>
        </w:rPr>
      </w:pPr>
    </w:p>
    <w:p>
      <w:pPr>
        <w:ind w:left="640" w:hanging="308"/>
        <w:spacing w:after="0"/>
        <w:tabs>
          <w:tab w:leader="none" w:pos="640" w:val="left"/>
        </w:tabs>
        <w:numPr>
          <w:ilvl w:val="0"/>
          <w:numId w:val="68"/>
        </w:numPr>
        <w:rPr>
          <w:rFonts w:ascii="Arial" w:cs="Arial" w:eastAsia="Arial" w:hAnsi="Arial"/>
          <w:sz w:val="20"/>
          <w:szCs w:val="20"/>
          <w:color w:val="auto"/>
        </w:rPr>
      </w:pPr>
      <w:r>
        <w:rPr>
          <w:rFonts w:ascii="Arial" w:cs="Arial" w:eastAsia="Arial" w:hAnsi="Arial"/>
          <w:sz w:val="20"/>
          <w:szCs w:val="20"/>
          <w:color w:val="auto"/>
        </w:rPr>
        <w:t>Announced PIPE financing from new and existing institutional investors, raising $100 million of gross proceeds</w:t>
      </w:r>
    </w:p>
    <w:p>
      <w:pPr>
        <w:spacing w:after="0" w:line="107" w:lineRule="exact"/>
        <w:rPr>
          <w:rFonts w:ascii="Arial" w:cs="Arial" w:eastAsia="Arial" w:hAnsi="Arial"/>
          <w:sz w:val="20"/>
          <w:szCs w:val="20"/>
          <w:color w:val="auto"/>
        </w:rPr>
      </w:pPr>
    </w:p>
    <w:p>
      <w:pPr>
        <w:ind w:left="660" w:right="120" w:hanging="328"/>
        <w:spacing w:after="0" w:line="286" w:lineRule="auto"/>
        <w:tabs>
          <w:tab w:leader="none" w:pos="648" w:val="left"/>
        </w:tabs>
        <w:numPr>
          <w:ilvl w:val="0"/>
          <w:numId w:val="68"/>
        </w:numPr>
        <w:rPr>
          <w:rFonts w:ascii="Arial" w:cs="Arial" w:eastAsia="Arial" w:hAnsi="Arial"/>
          <w:sz w:val="20"/>
          <w:szCs w:val="20"/>
          <w:color w:val="auto"/>
        </w:rPr>
      </w:pPr>
      <w:r>
        <w:rPr>
          <w:rFonts w:ascii="Arial" w:cs="Arial" w:eastAsia="Arial" w:hAnsi="Arial"/>
          <w:sz w:val="20"/>
          <w:szCs w:val="20"/>
          <w:color w:val="auto"/>
        </w:rPr>
        <w:t>Deployed eight additional fully-driverless trucks, for a total of 28 Customer-Owned Driverless Vehicles at the end of Q1, delivering 40% quarter-over-quarter growth</w:t>
      </w:r>
    </w:p>
    <w:p>
      <w:pPr>
        <w:spacing w:after="0" w:line="32" w:lineRule="exact"/>
        <w:rPr>
          <w:rFonts w:ascii="Arial" w:cs="Arial" w:eastAsia="Arial" w:hAnsi="Arial"/>
          <w:sz w:val="20"/>
          <w:szCs w:val="20"/>
          <w:color w:val="auto"/>
        </w:rPr>
      </w:pPr>
    </w:p>
    <w:p>
      <w:pPr>
        <w:ind w:left="660" w:right="40" w:hanging="328"/>
        <w:spacing w:after="0" w:line="286" w:lineRule="auto"/>
        <w:tabs>
          <w:tab w:leader="none" w:pos="648" w:val="left"/>
        </w:tabs>
        <w:numPr>
          <w:ilvl w:val="0"/>
          <w:numId w:val="68"/>
        </w:numPr>
        <w:rPr>
          <w:rFonts w:ascii="Arial" w:cs="Arial" w:eastAsia="Arial" w:hAnsi="Arial"/>
          <w:sz w:val="20"/>
          <w:szCs w:val="20"/>
          <w:color w:val="auto"/>
        </w:rPr>
      </w:pPr>
      <w:r>
        <w:rPr>
          <w:rFonts w:ascii="Arial" w:cs="Arial" w:eastAsia="Arial" w:hAnsi="Arial"/>
          <w:sz w:val="20"/>
          <w:szCs w:val="20"/>
          <w:color w:val="auto"/>
        </w:rPr>
        <w:t>Accumulated a total of over 23,500 hours of Cumulative Hours of Paid Driverless Operations through Q1, representing a 120% increase from the end of Q4 2025</w:t>
      </w:r>
    </w:p>
    <w:p>
      <w:pPr>
        <w:spacing w:after="0" w:line="45" w:lineRule="exact"/>
        <w:rPr>
          <w:rFonts w:ascii="Arial" w:cs="Arial" w:eastAsia="Arial" w:hAnsi="Arial"/>
          <w:sz w:val="20"/>
          <w:szCs w:val="20"/>
          <w:color w:val="auto"/>
        </w:rPr>
      </w:pPr>
    </w:p>
    <w:p>
      <w:pPr>
        <w:ind w:left="660" w:right="80" w:hanging="328"/>
        <w:spacing w:after="0" w:line="271" w:lineRule="auto"/>
        <w:tabs>
          <w:tab w:leader="none" w:pos="648" w:val="left"/>
        </w:tabs>
        <w:numPr>
          <w:ilvl w:val="0"/>
          <w:numId w:val="68"/>
        </w:numPr>
        <w:rPr>
          <w:rFonts w:ascii="Arial" w:cs="Arial" w:eastAsia="Arial" w:hAnsi="Arial"/>
          <w:sz w:val="20"/>
          <w:szCs w:val="20"/>
          <w:color w:val="auto"/>
        </w:rPr>
      </w:pPr>
      <w:r>
        <w:rPr>
          <w:rFonts w:ascii="Arial" w:cs="Arial" w:eastAsia="Arial" w:hAnsi="Arial"/>
          <w:sz w:val="20"/>
          <w:szCs w:val="20"/>
          <w:color w:val="auto"/>
        </w:rPr>
        <w:t>Delivered more than 15,600 cumulative loads as of the end of Q1, representing approximately 24% growth over the end of Q4 2025</w:t>
      </w:r>
    </w:p>
    <w:p>
      <w:pPr>
        <w:spacing w:after="0" w:line="61" w:lineRule="exact"/>
        <w:rPr>
          <w:rFonts w:ascii="Arial" w:cs="Arial" w:eastAsia="Arial" w:hAnsi="Arial"/>
          <w:sz w:val="20"/>
          <w:szCs w:val="20"/>
          <w:color w:val="auto"/>
        </w:rPr>
      </w:pPr>
    </w:p>
    <w:p>
      <w:pPr>
        <w:ind w:left="660" w:right="220" w:hanging="328"/>
        <w:spacing w:after="0" w:line="271" w:lineRule="auto"/>
        <w:tabs>
          <w:tab w:leader="none" w:pos="648" w:val="left"/>
        </w:tabs>
        <w:numPr>
          <w:ilvl w:val="0"/>
          <w:numId w:val="68"/>
        </w:numPr>
        <w:rPr>
          <w:rFonts w:ascii="Arial" w:cs="Arial" w:eastAsia="Arial" w:hAnsi="Arial"/>
          <w:sz w:val="20"/>
          <w:szCs w:val="20"/>
          <w:color w:val="auto"/>
        </w:rPr>
      </w:pPr>
      <w:r>
        <w:rPr>
          <w:rFonts w:ascii="Arial" w:cs="Arial" w:eastAsia="Arial" w:hAnsi="Arial"/>
          <w:sz w:val="20"/>
          <w:szCs w:val="20"/>
          <w:color w:val="auto"/>
        </w:rPr>
        <w:t>Announced strategic partnership with General Dynamics Land Systems (GDLS) to collaborate on autonomous military ground vehicles</w:t>
      </w:r>
    </w:p>
    <w:p>
      <w:pPr>
        <w:spacing w:after="0" w:line="61" w:lineRule="exact"/>
        <w:rPr>
          <w:rFonts w:ascii="Arial" w:cs="Arial" w:eastAsia="Arial" w:hAnsi="Arial"/>
          <w:sz w:val="20"/>
          <w:szCs w:val="20"/>
          <w:color w:val="auto"/>
        </w:rPr>
      </w:pPr>
    </w:p>
    <w:p>
      <w:pPr>
        <w:ind w:left="660" w:right="280" w:hanging="328"/>
        <w:spacing w:after="0" w:line="262" w:lineRule="auto"/>
        <w:tabs>
          <w:tab w:leader="none" w:pos="648" w:val="left"/>
        </w:tabs>
        <w:numPr>
          <w:ilvl w:val="0"/>
          <w:numId w:val="68"/>
        </w:numPr>
        <w:rPr>
          <w:rFonts w:ascii="Arial" w:cs="Arial" w:eastAsia="Arial" w:hAnsi="Arial"/>
          <w:sz w:val="20"/>
          <w:szCs w:val="20"/>
          <w:color w:val="auto"/>
        </w:rPr>
      </w:pPr>
      <w:r>
        <w:rPr>
          <w:rFonts w:ascii="Arial" w:cs="Arial" w:eastAsia="Arial" w:hAnsi="Arial"/>
          <w:sz w:val="20"/>
          <w:szCs w:val="20"/>
          <w:color w:val="auto"/>
        </w:rPr>
        <w:t>Unveiled the first vehicle developed in collaboration with GDLS: the Leonidas Autonomous Ground Vehicle, which combines the Kodiak Driver with Epirus’ cutting-edge counter-drone system, supported by GDLS’s system integration expertise</w:t>
      </w:r>
    </w:p>
    <w:p>
      <w:pPr>
        <w:spacing w:after="0" w:line="70" w:lineRule="exact"/>
        <w:rPr>
          <w:rFonts w:ascii="Arial" w:cs="Arial" w:eastAsia="Arial" w:hAnsi="Arial"/>
          <w:sz w:val="20"/>
          <w:szCs w:val="20"/>
          <w:color w:val="auto"/>
        </w:rPr>
      </w:pPr>
    </w:p>
    <w:p>
      <w:pPr>
        <w:ind w:left="640" w:hanging="308"/>
        <w:spacing w:after="0"/>
        <w:tabs>
          <w:tab w:leader="none" w:pos="640" w:val="left"/>
        </w:tabs>
        <w:numPr>
          <w:ilvl w:val="0"/>
          <w:numId w:val="68"/>
        </w:numPr>
        <w:rPr>
          <w:rFonts w:ascii="Arial" w:cs="Arial" w:eastAsia="Arial" w:hAnsi="Arial"/>
          <w:sz w:val="20"/>
          <w:szCs w:val="20"/>
          <w:color w:val="auto"/>
        </w:rPr>
      </w:pPr>
      <w:r>
        <w:rPr>
          <w:rFonts w:ascii="Arial" w:cs="Arial" w:eastAsia="Arial" w:hAnsi="Arial"/>
          <w:sz w:val="20"/>
          <w:szCs w:val="20"/>
          <w:color w:val="auto"/>
        </w:rPr>
        <w:t>Announced launch of service with Roehl Transport, hauling freight between Dallas and Houston four times a week</w:t>
      </w:r>
    </w:p>
    <w:p>
      <w:pPr>
        <w:spacing w:after="0" w:line="107" w:lineRule="exact"/>
        <w:rPr>
          <w:rFonts w:ascii="Arial" w:cs="Arial" w:eastAsia="Arial" w:hAnsi="Arial"/>
          <w:sz w:val="20"/>
          <w:szCs w:val="20"/>
          <w:color w:val="auto"/>
        </w:rPr>
      </w:pPr>
    </w:p>
    <w:p>
      <w:pPr>
        <w:ind w:left="640" w:hanging="308"/>
        <w:spacing w:after="0"/>
        <w:tabs>
          <w:tab w:leader="none" w:pos="640" w:val="left"/>
        </w:tabs>
        <w:numPr>
          <w:ilvl w:val="0"/>
          <w:numId w:val="68"/>
        </w:numPr>
        <w:rPr>
          <w:rFonts w:ascii="Arial" w:cs="Arial" w:eastAsia="Arial" w:hAnsi="Arial"/>
          <w:sz w:val="19"/>
          <w:szCs w:val="19"/>
          <w:color w:val="auto"/>
        </w:rPr>
      </w:pPr>
      <w:r>
        <w:rPr>
          <w:rFonts w:ascii="Arial" w:cs="Arial" w:eastAsia="Arial" w:hAnsi="Arial"/>
          <w:sz w:val="19"/>
          <w:szCs w:val="19"/>
          <w:color w:val="auto"/>
        </w:rPr>
        <w:t>Announced planned pilot operations with West Fraser, to demonstrate the Kodiak Driver in logging operations in Canada</w:t>
      </w:r>
    </w:p>
    <w:p>
      <w:pPr>
        <w:spacing w:after="0" w:line="132" w:lineRule="exact"/>
        <w:rPr>
          <w:rFonts w:ascii="Arial" w:cs="Arial" w:eastAsia="Arial" w:hAnsi="Arial"/>
          <w:sz w:val="19"/>
          <w:szCs w:val="19"/>
          <w:color w:val="auto"/>
        </w:rPr>
      </w:pPr>
    </w:p>
    <w:p>
      <w:pPr>
        <w:ind w:left="660" w:right="140" w:hanging="328"/>
        <w:spacing w:after="0" w:line="286" w:lineRule="auto"/>
        <w:tabs>
          <w:tab w:leader="none" w:pos="648" w:val="left"/>
        </w:tabs>
        <w:numPr>
          <w:ilvl w:val="0"/>
          <w:numId w:val="68"/>
        </w:numPr>
        <w:rPr>
          <w:rFonts w:ascii="Arial" w:cs="Arial" w:eastAsia="Arial" w:hAnsi="Arial"/>
          <w:sz w:val="20"/>
          <w:szCs w:val="20"/>
          <w:color w:val="auto"/>
        </w:rPr>
      </w:pPr>
      <w:r>
        <w:rPr>
          <w:rFonts w:ascii="Arial" w:cs="Arial" w:eastAsia="Arial" w:hAnsi="Arial"/>
          <w:sz w:val="20"/>
          <w:szCs w:val="20"/>
          <w:color w:val="auto"/>
        </w:rPr>
        <w:t>Accelerated development using AI agentic tools built using company-wide Model Context Protocol servers that connect to all company data sources</w:t>
      </w:r>
    </w:p>
    <w:p>
      <w:pPr>
        <w:spacing w:after="0" w:line="32" w:lineRule="exact"/>
        <w:rPr>
          <w:rFonts w:ascii="Arial" w:cs="Arial" w:eastAsia="Arial" w:hAnsi="Arial"/>
          <w:sz w:val="20"/>
          <w:szCs w:val="20"/>
          <w:color w:val="auto"/>
        </w:rPr>
      </w:pPr>
    </w:p>
    <w:p>
      <w:pPr>
        <w:ind w:left="640" w:hanging="308"/>
        <w:spacing w:after="0"/>
        <w:tabs>
          <w:tab w:leader="none" w:pos="640" w:val="left"/>
        </w:tabs>
        <w:numPr>
          <w:ilvl w:val="0"/>
          <w:numId w:val="68"/>
        </w:numPr>
        <w:rPr>
          <w:rFonts w:ascii="Arial" w:cs="Arial" w:eastAsia="Arial" w:hAnsi="Arial"/>
          <w:sz w:val="20"/>
          <w:szCs w:val="20"/>
          <w:color w:val="auto"/>
        </w:rPr>
      </w:pPr>
      <w:r>
        <w:rPr>
          <w:rFonts w:ascii="Arial" w:cs="Arial" w:eastAsia="Arial" w:hAnsi="Arial"/>
          <w:sz w:val="20"/>
          <w:szCs w:val="20"/>
          <w:color w:val="auto"/>
        </w:rPr>
        <w:t>Increased long-haul Autonomy Readiness Measure to 86% as of the end of April</w:t>
      </w:r>
    </w:p>
    <w:p>
      <w:pPr>
        <w:spacing w:after="0" w:line="121" w:lineRule="exact"/>
        <w:rPr>
          <w:rFonts w:ascii="Arial" w:cs="Arial" w:eastAsia="Arial" w:hAnsi="Arial"/>
          <w:sz w:val="20"/>
          <w:szCs w:val="20"/>
          <w:color w:val="auto"/>
        </w:rPr>
      </w:pPr>
    </w:p>
    <w:p>
      <w:pPr>
        <w:ind w:left="660" w:right="60" w:hanging="328"/>
        <w:spacing w:after="0" w:line="271" w:lineRule="auto"/>
        <w:tabs>
          <w:tab w:leader="none" w:pos="648" w:val="left"/>
        </w:tabs>
        <w:numPr>
          <w:ilvl w:val="0"/>
          <w:numId w:val="68"/>
        </w:numPr>
        <w:rPr>
          <w:rFonts w:ascii="Arial" w:cs="Arial" w:eastAsia="Arial" w:hAnsi="Arial"/>
          <w:sz w:val="20"/>
          <w:szCs w:val="20"/>
          <w:color w:val="auto"/>
        </w:rPr>
      </w:pPr>
      <w:r>
        <w:rPr>
          <w:rFonts w:ascii="Arial" w:cs="Arial" w:eastAsia="Arial" w:hAnsi="Arial"/>
          <w:sz w:val="20"/>
          <w:szCs w:val="20"/>
          <w:color w:val="auto"/>
        </w:rPr>
        <w:t>Announced plans to integrate the NVIDIA DRIVE Hyperion architecture in the next-generation of Kodiak Driver-powered trucks</w:t>
      </w:r>
    </w:p>
    <w:p>
      <w:pPr>
        <w:spacing w:after="0" w:line="61" w:lineRule="exact"/>
        <w:rPr>
          <w:rFonts w:ascii="Arial" w:cs="Arial" w:eastAsia="Arial" w:hAnsi="Arial"/>
          <w:sz w:val="20"/>
          <w:szCs w:val="20"/>
          <w:color w:val="auto"/>
        </w:rPr>
      </w:pPr>
    </w:p>
    <w:p>
      <w:pPr>
        <w:ind w:left="640" w:hanging="308"/>
        <w:spacing w:after="0"/>
        <w:tabs>
          <w:tab w:leader="none" w:pos="640" w:val="left"/>
        </w:tabs>
        <w:numPr>
          <w:ilvl w:val="0"/>
          <w:numId w:val="68"/>
        </w:numPr>
        <w:rPr>
          <w:rFonts w:ascii="Arial" w:cs="Arial" w:eastAsia="Arial" w:hAnsi="Arial"/>
          <w:sz w:val="20"/>
          <w:szCs w:val="20"/>
          <w:color w:val="auto"/>
        </w:rPr>
      </w:pPr>
      <w:r>
        <w:rPr>
          <w:rFonts w:ascii="Arial" w:cs="Arial" w:eastAsia="Arial" w:hAnsi="Arial"/>
          <w:sz w:val="20"/>
          <w:szCs w:val="20"/>
          <w:color w:val="auto"/>
        </w:rPr>
        <w:t>Q1 Revenue of $1.8 million, representing 74% growth quarter-over-quarter</w:t>
      </w:r>
    </w:p>
    <w:p>
      <w:pPr>
        <w:spacing w:after="0" w:line="107" w:lineRule="exact"/>
        <w:rPr>
          <w:rFonts w:ascii="Arial" w:cs="Arial" w:eastAsia="Arial" w:hAnsi="Arial"/>
          <w:sz w:val="20"/>
          <w:szCs w:val="20"/>
          <w:color w:val="auto"/>
        </w:rPr>
      </w:pPr>
    </w:p>
    <w:p>
      <w:pPr>
        <w:ind w:left="640" w:hanging="308"/>
        <w:spacing w:after="0"/>
        <w:tabs>
          <w:tab w:leader="none" w:pos="640" w:val="left"/>
        </w:tabs>
        <w:numPr>
          <w:ilvl w:val="0"/>
          <w:numId w:val="68"/>
        </w:numPr>
        <w:rPr>
          <w:rFonts w:ascii="Arial" w:cs="Arial" w:eastAsia="Arial" w:hAnsi="Arial"/>
          <w:sz w:val="20"/>
          <w:szCs w:val="20"/>
          <w:color w:val="auto"/>
        </w:rPr>
      </w:pPr>
      <w:r>
        <w:rPr>
          <w:rFonts w:ascii="Arial" w:cs="Arial" w:eastAsia="Arial" w:hAnsi="Arial"/>
          <w:sz w:val="20"/>
          <w:szCs w:val="20"/>
          <w:color w:val="auto"/>
        </w:rPr>
        <w:t>Q1 Net cash used in operating activities of $29.5 million</w:t>
      </w:r>
    </w:p>
    <w:p>
      <w:pPr>
        <w:spacing w:after="0" w:line="121" w:lineRule="exact"/>
        <w:rPr>
          <w:rFonts w:ascii="Arial" w:cs="Arial" w:eastAsia="Arial" w:hAnsi="Arial"/>
          <w:sz w:val="20"/>
          <w:szCs w:val="20"/>
          <w:color w:val="auto"/>
        </w:rPr>
      </w:pPr>
    </w:p>
    <w:p>
      <w:pPr>
        <w:ind w:left="640" w:hanging="308"/>
        <w:spacing w:after="0"/>
        <w:tabs>
          <w:tab w:leader="none" w:pos="640" w:val="left"/>
        </w:tabs>
        <w:numPr>
          <w:ilvl w:val="0"/>
          <w:numId w:val="68"/>
        </w:numPr>
        <w:rPr>
          <w:rFonts w:ascii="Arial" w:cs="Arial" w:eastAsia="Arial" w:hAnsi="Arial"/>
          <w:sz w:val="20"/>
          <w:szCs w:val="20"/>
          <w:color w:val="auto"/>
        </w:rPr>
      </w:pPr>
      <w:r>
        <w:rPr>
          <w:rFonts w:ascii="Arial" w:cs="Arial" w:eastAsia="Arial" w:hAnsi="Arial"/>
          <w:sz w:val="20"/>
          <w:szCs w:val="20"/>
          <w:color w:val="auto"/>
        </w:rPr>
        <w:t>Q1 Free Cash Flow (Non-GAAP) of negative $35.0 million</w:t>
      </w:r>
    </w:p>
    <w:p>
      <w:pPr>
        <w:spacing w:after="0" w:line="121" w:lineRule="exact"/>
        <w:rPr>
          <w:rFonts w:ascii="Arial" w:cs="Arial" w:eastAsia="Arial" w:hAnsi="Arial"/>
          <w:sz w:val="20"/>
          <w:szCs w:val="20"/>
          <w:color w:val="auto"/>
        </w:rPr>
      </w:pPr>
    </w:p>
    <w:p>
      <w:pPr>
        <w:ind w:left="640" w:hanging="308"/>
        <w:spacing w:after="0"/>
        <w:tabs>
          <w:tab w:leader="none" w:pos="640" w:val="left"/>
        </w:tabs>
        <w:numPr>
          <w:ilvl w:val="0"/>
          <w:numId w:val="68"/>
        </w:numPr>
        <w:rPr>
          <w:rFonts w:ascii="Arial" w:cs="Arial" w:eastAsia="Arial" w:hAnsi="Arial"/>
          <w:sz w:val="20"/>
          <w:szCs w:val="20"/>
          <w:color w:val="auto"/>
        </w:rPr>
      </w:pPr>
      <w:r>
        <w:rPr>
          <w:rFonts w:ascii="Arial" w:cs="Arial" w:eastAsia="Arial" w:hAnsi="Arial"/>
          <w:sz w:val="20"/>
          <w:szCs w:val="20"/>
          <w:color w:val="auto"/>
        </w:rPr>
        <w:t>Ended Q1 with $90.2 million in cash and cash equivalents and marketable securities, which does not include the</w:t>
      </w:r>
    </w:p>
    <w:p>
      <w:pPr>
        <w:spacing w:after="0" w:line="17" w:lineRule="exact"/>
        <w:rPr>
          <w:rFonts w:ascii="Arial" w:cs="Arial" w:eastAsia="Arial" w:hAnsi="Arial"/>
          <w:sz w:val="20"/>
          <w:szCs w:val="20"/>
          <w:color w:val="auto"/>
        </w:rPr>
      </w:pPr>
    </w:p>
    <w:p>
      <w:pPr>
        <w:ind w:left="660"/>
        <w:spacing w:after="0" w:line="267" w:lineRule="auto"/>
        <w:rPr>
          <w:rFonts w:ascii="Arial" w:cs="Arial" w:eastAsia="Arial" w:hAnsi="Arial"/>
          <w:sz w:val="20"/>
          <w:szCs w:val="20"/>
          <w:color w:val="auto"/>
        </w:rPr>
      </w:pPr>
      <w:r>
        <w:rPr>
          <w:rFonts w:ascii="Arial" w:cs="Arial" w:eastAsia="Arial" w:hAnsi="Arial"/>
          <w:sz w:val="20"/>
          <w:szCs w:val="20"/>
          <w:color w:val="auto"/>
        </w:rPr>
        <w:t>$100 million of gross proceeds from the PIPE financing, which is more fully described in our Current Report on Form 8-K filed with the SEC on May 7, 2026</w:t>
      </w:r>
    </w:p>
    <w:p>
      <w:pPr>
        <w:spacing w:after="0" w:line="159" w:lineRule="exact"/>
        <w:rPr>
          <w:sz w:val="20"/>
          <w:szCs w:val="20"/>
          <w:color w:val="auto"/>
        </w:rPr>
      </w:pPr>
    </w:p>
    <w:p>
      <w:pPr>
        <w:ind w:right="140"/>
        <w:spacing w:after="0" w:line="254" w:lineRule="auto"/>
        <w:rPr>
          <w:sz w:val="20"/>
          <w:szCs w:val="20"/>
          <w:color w:val="auto"/>
        </w:rPr>
      </w:pPr>
      <w:r>
        <w:rPr>
          <w:rFonts w:ascii="Arial" w:cs="Arial" w:eastAsia="Arial" w:hAnsi="Arial"/>
          <w:sz w:val="20"/>
          <w:szCs w:val="20"/>
          <w:color w:val="auto"/>
        </w:rPr>
        <w:t>“We delivered a strong first quarter across both operational and financial metrics, delivering 74% revenue growth quarter-over-quarter. This growth was driven by the expansion of our Driver-as-a-Service revenue as we expanded our deployment of customer-owned driverless trucks. Additionally, today we are pleased to announce we are further reinforcing our liquidity position with a $100 million PIPE financing. This financing will provide us with additional flexibility to execute on our operating plan and will support our next phase of growth. We believe that the equity financing combined with our continued progress in scaling our business will enable us to make progress toward profitability and generating free cash flow over time,” said Surajit Datta, Chief Financial Officer of Kodiak.</w:t>
      </w:r>
    </w:p>
    <w:p>
      <w:pPr>
        <w:spacing w:after="0" w:line="186" w:lineRule="exact"/>
        <w:rPr>
          <w:sz w:val="20"/>
          <w:szCs w:val="20"/>
          <w:color w:val="auto"/>
        </w:rPr>
      </w:pPr>
    </w:p>
    <w:p>
      <w:pPr>
        <w:ind w:right="960"/>
        <w:spacing w:after="0" w:line="271" w:lineRule="auto"/>
        <w:rPr>
          <w:sz w:val="20"/>
          <w:szCs w:val="20"/>
          <w:color w:val="auto"/>
        </w:rPr>
      </w:pPr>
      <w:r>
        <w:rPr>
          <w:rFonts w:ascii="Arial" w:cs="Arial" w:eastAsia="Arial" w:hAnsi="Arial"/>
          <w:sz w:val="20"/>
          <w:szCs w:val="20"/>
          <w:color w:val="auto"/>
        </w:rPr>
        <w:t>TD Cowen acted as lead placement agent and Cantor and Oppenheimer &amp; Co. acted as co-placement agents for the transaction.</w:t>
      </w:r>
    </w:p>
    <w:p>
      <w:pPr>
        <w:sectPr>
          <w:pgSz w:w="11900" w:h="16838" w:orient="portrait"/>
          <w:cols w:equalWidth="0" w:num="1">
            <w:col w:w="11180"/>
          </w:cols>
          <w:pgMar w:left="320" w:top="1385" w:right="399" w:bottom="1440" w:gutter="0" w:footer="0" w:header="0"/>
        </w:sectPr>
      </w:pPr>
    </w:p>
    <w:bookmarkStart w:id="56" w:name="page57"/>
    <w:bookmarkEnd w:id="56"/>
    <w:p>
      <w:pPr>
        <w:spacing w:after="0" w:line="200" w:lineRule="exact"/>
        <w:rPr>
          <w:sz w:val="20"/>
          <w:szCs w:val="20"/>
          <w:color w:val="auto"/>
        </w:rPr>
      </w:pPr>
    </w:p>
    <w:p>
      <w:pPr>
        <w:spacing w:after="0" w:line="206" w:lineRule="exact"/>
        <w:rPr>
          <w:sz w:val="20"/>
          <w:szCs w:val="20"/>
          <w:color w:val="auto"/>
        </w:rPr>
      </w:pPr>
    </w:p>
    <w:p>
      <w:pPr>
        <w:spacing w:after="0" w:line="286" w:lineRule="auto"/>
        <w:rPr>
          <w:sz w:val="20"/>
          <w:szCs w:val="20"/>
          <w:color w:val="auto"/>
        </w:rPr>
      </w:pPr>
      <w:r>
        <w:rPr>
          <w:rFonts w:ascii="Arial" w:cs="Arial" w:eastAsia="Arial" w:hAnsi="Arial"/>
          <w:sz w:val="20"/>
          <w:szCs w:val="20"/>
          <w:color w:val="auto"/>
        </w:rPr>
        <w:t>Wilson Sonsini Goodrich &amp; Rosati served as legal counsel to Kodiak AI, Inc. Greenberg Traurig served as legal counsel to the placement agents.</w:t>
      </w:r>
    </w:p>
    <w:p>
      <w:pPr>
        <w:sectPr>
          <w:pgSz w:w="11900" w:h="16838" w:orient="portrait"/>
          <w:cols w:equalWidth="0" w:num="1">
            <w:col w:w="10980"/>
          </w:cols>
          <w:pgMar w:left="320" w:top="1440" w:right="599" w:bottom="1440" w:gutter="0" w:footer="0" w:header="0"/>
        </w:sectPr>
      </w:pPr>
    </w:p>
    <w:bookmarkStart w:id="57" w:name="page58"/>
    <w:bookmarkEnd w:id="57"/>
    <w:p>
      <w:pPr>
        <w:spacing w:after="0"/>
        <w:rPr>
          <w:sz w:val="20"/>
          <w:szCs w:val="20"/>
          <w:color w:val="auto"/>
        </w:rPr>
      </w:pPr>
      <w:r>
        <w:rPr>
          <w:rFonts w:ascii="Arial" w:cs="Arial" w:eastAsia="Arial" w:hAnsi="Arial"/>
          <w:sz w:val="20"/>
          <w:szCs w:val="20"/>
          <w:b w:val="1"/>
          <w:bCs w:val="1"/>
          <w:color w:val="auto"/>
        </w:rPr>
        <w:t>Upcoming Conferences</w:t>
      </w:r>
    </w:p>
    <w:p>
      <w:pPr>
        <w:spacing w:after="0" w:line="231" w:lineRule="exact"/>
        <w:rPr>
          <w:sz w:val="20"/>
          <w:szCs w:val="20"/>
          <w:color w:val="auto"/>
        </w:rPr>
      </w:pPr>
    </w:p>
    <w:p>
      <w:pPr>
        <w:spacing w:after="0"/>
        <w:rPr>
          <w:sz w:val="20"/>
          <w:szCs w:val="20"/>
          <w:color w:val="auto"/>
        </w:rPr>
      </w:pPr>
      <w:r>
        <w:rPr>
          <w:rFonts w:ascii="Arial" w:cs="Arial" w:eastAsia="Arial" w:hAnsi="Arial"/>
          <w:sz w:val="20"/>
          <w:szCs w:val="20"/>
          <w:color w:val="auto"/>
        </w:rPr>
        <w:t>Management will present at the following investor conferences:</w:t>
      </w:r>
    </w:p>
    <w:p>
      <w:pPr>
        <w:spacing w:after="0" w:line="202" w:lineRule="exact"/>
        <w:rPr>
          <w:sz w:val="20"/>
          <w:szCs w:val="20"/>
          <w:color w:val="auto"/>
        </w:rPr>
      </w:pPr>
    </w:p>
    <w:p>
      <w:pPr>
        <w:ind w:left="640" w:hanging="308"/>
        <w:spacing w:after="0"/>
        <w:tabs>
          <w:tab w:leader="none" w:pos="640" w:val="left"/>
        </w:tabs>
        <w:numPr>
          <w:ilvl w:val="0"/>
          <w:numId w:val="69"/>
        </w:numPr>
        <w:rPr>
          <w:rFonts w:ascii="Arial" w:cs="Arial" w:eastAsia="Arial" w:hAnsi="Arial"/>
          <w:sz w:val="20"/>
          <w:szCs w:val="20"/>
          <w:color w:val="auto"/>
        </w:rPr>
      </w:pPr>
      <w:r>
        <w:rPr>
          <w:rFonts w:ascii="Arial" w:cs="Arial" w:eastAsia="Arial" w:hAnsi="Arial"/>
          <w:sz w:val="20"/>
          <w:szCs w:val="20"/>
          <w:color w:val="auto"/>
        </w:rPr>
        <w:t>Bank of America Industrials Conference on May 12, 2026 at 3:40pm ET (12:40pm PT)</w:t>
      </w:r>
    </w:p>
    <w:p>
      <w:pPr>
        <w:spacing w:after="0" w:line="94" w:lineRule="exact"/>
        <w:rPr>
          <w:rFonts w:ascii="Arial" w:cs="Arial" w:eastAsia="Arial" w:hAnsi="Arial"/>
          <w:sz w:val="20"/>
          <w:szCs w:val="20"/>
          <w:color w:val="auto"/>
        </w:rPr>
      </w:pPr>
    </w:p>
    <w:p>
      <w:pPr>
        <w:ind w:left="640" w:hanging="308"/>
        <w:spacing w:after="0"/>
        <w:tabs>
          <w:tab w:leader="none" w:pos="640" w:val="left"/>
        </w:tabs>
        <w:numPr>
          <w:ilvl w:val="0"/>
          <w:numId w:val="69"/>
        </w:numPr>
        <w:rPr>
          <w:rFonts w:ascii="Arial" w:cs="Arial" w:eastAsia="Arial" w:hAnsi="Arial"/>
          <w:sz w:val="20"/>
          <w:szCs w:val="20"/>
          <w:color w:val="auto"/>
        </w:rPr>
      </w:pPr>
      <w:r>
        <w:rPr>
          <w:rFonts w:ascii="Arial" w:cs="Arial" w:eastAsia="Arial" w:hAnsi="Arial"/>
          <w:sz w:val="20"/>
          <w:szCs w:val="20"/>
          <w:color w:val="auto"/>
        </w:rPr>
        <w:t>J.P. Morgan Global Technology, Media, and Communications Conference on May 19, 2026 at 4:55pm ET (1:55pm PT)</w:t>
      </w:r>
    </w:p>
    <w:p>
      <w:pPr>
        <w:spacing w:after="0" w:line="107" w:lineRule="exact"/>
        <w:rPr>
          <w:rFonts w:ascii="Arial" w:cs="Arial" w:eastAsia="Arial" w:hAnsi="Arial"/>
          <w:sz w:val="20"/>
          <w:szCs w:val="20"/>
          <w:color w:val="auto"/>
        </w:rPr>
      </w:pPr>
    </w:p>
    <w:p>
      <w:pPr>
        <w:ind w:left="640" w:hanging="308"/>
        <w:spacing w:after="0"/>
        <w:tabs>
          <w:tab w:leader="none" w:pos="640" w:val="left"/>
        </w:tabs>
        <w:numPr>
          <w:ilvl w:val="0"/>
          <w:numId w:val="69"/>
        </w:numPr>
        <w:rPr>
          <w:rFonts w:ascii="Arial" w:cs="Arial" w:eastAsia="Arial" w:hAnsi="Arial"/>
          <w:sz w:val="20"/>
          <w:szCs w:val="20"/>
          <w:color w:val="auto"/>
        </w:rPr>
      </w:pPr>
      <w:r>
        <w:rPr>
          <w:rFonts w:ascii="Arial" w:cs="Arial" w:eastAsia="Arial" w:hAnsi="Arial"/>
          <w:sz w:val="20"/>
          <w:szCs w:val="20"/>
          <w:color w:val="auto"/>
        </w:rPr>
        <w:t>TD Cowen 54</w:t>
      </w:r>
      <w:r>
        <w:rPr>
          <w:rFonts w:ascii="Arial" w:cs="Arial" w:eastAsia="Arial" w:hAnsi="Arial"/>
          <w:sz w:val="25"/>
          <w:szCs w:val="25"/>
          <w:color w:val="auto"/>
          <w:vertAlign w:val="superscript"/>
        </w:rPr>
        <w:t>th</w:t>
      </w:r>
      <w:r>
        <w:rPr>
          <w:rFonts w:ascii="Arial" w:cs="Arial" w:eastAsia="Arial" w:hAnsi="Arial"/>
          <w:sz w:val="20"/>
          <w:szCs w:val="20"/>
          <w:color w:val="auto"/>
        </w:rPr>
        <w:t xml:space="preserve"> Annual Technology, Media &amp; Telecom Conference on May 27, 2026 at 10:50am ET (7:50am PT)</w:t>
      </w:r>
    </w:p>
    <w:p>
      <w:pPr>
        <w:spacing w:after="0" w:line="145" w:lineRule="exact"/>
        <w:rPr>
          <w:sz w:val="20"/>
          <w:szCs w:val="20"/>
          <w:color w:val="auto"/>
        </w:rPr>
      </w:pPr>
    </w:p>
    <w:p>
      <w:pPr>
        <w:ind w:right="500"/>
        <w:spacing w:after="0" w:line="271" w:lineRule="auto"/>
        <w:rPr>
          <w:sz w:val="20"/>
          <w:szCs w:val="20"/>
          <w:color w:val="auto"/>
        </w:rPr>
      </w:pPr>
      <w:r>
        <w:rPr>
          <w:rFonts w:ascii="Arial" w:cs="Arial" w:eastAsia="Arial" w:hAnsi="Arial"/>
          <w:sz w:val="20"/>
          <w:szCs w:val="20"/>
          <w:color w:val="auto"/>
        </w:rPr>
        <w:t xml:space="preserve">A live and archived webcast of the presentations will be available on Kodiak’s Investor Relations section of the Company’s website, </w:t>
      </w:r>
      <w:r>
        <w:rPr>
          <w:rFonts w:ascii="Arial" w:cs="Arial" w:eastAsia="Arial" w:hAnsi="Arial"/>
          <w:sz w:val="20"/>
          <w:szCs w:val="20"/>
          <w:color w:val="0000FF"/>
        </w:rPr>
        <w:t>https://kodiak.ai/investors</w:t>
      </w:r>
      <w:r>
        <w:rPr>
          <w:rFonts w:ascii="Arial" w:cs="Arial" w:eastAsia="Arial" w:hAnsi="Arial"/>
          <w:sz w:val="20"/>
          <w:szCs w:val="20"/>
          <w:color w:val="auto"/>
        </w:rPr>
        <w:t>.</w:t>
      </w:r>
    </w:p>
    <w:p>
      <w:pPr>
        <w:spacing w:after="0" w:line="14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Conference Call Information</w:t>
      </w:r>
    </w:p>
    <w:p>
      <w:pPr>
        <w:spacing w:after="0" w:line="231" w:lineRule="exact"/>
        <w:rPr>
          <w:sz w:val="20"/>
          <w:szCs w:val="20"/>
          <w:color w:val="auto"/>
        </w:rPr>
      </w:pPr>
    </w:p>
    <w:p>
      <w:pPr>
        <w:spacing w:after="0"/>
        <w:rPr>
          <w:sz w:val="20"/>
          <w:szCs w:val="20"/>
          <w:color w:val="auto"/>
        </w:rPr>
      </w:pPr>
      <w:r>
        <w:rPr>
          <w:rFonts w:ascii="Arial" w:cs="Arial" w:eastAsia="Arial" w:hAnsi="Arial"/>
          <w:sz w:val="20"/>
          <w:szCs w:val="20"/>
          <w:color w:val="auto"/>
        </w:rPr>
        <w:t>Management will host a conference call to discuss the first quarter results today at 5:00 PM ET (2:00 PM PT).</w:t>
      </w:r>
    </w:p>
    <w:p>
      <w:pPr>
        <w:spacing w:after="0" w:line="216" w:lineRule="exact"/>
        <w:rPr>
          <w:sz w:val="20"/>
          <w:szCs w:val="20"/>
          <w:color w:val="auto"/>
        </w:rPr>
      </w:pPr>
    </w:p>
    <w:p>
      <w:pPr>
        <w:ind w:right="1020"/>
        <w:spacing w:after="0" w:line="286" w:lineRule="auto"/>
        <w:rPr>
          <w:sz w:val="20"/>
          <w:szCs w:val="20"/>
          <w:color w:val="auto"/>
        </w:rPr>
      </w:pPr>
      <w:r>
        <w:rPr>
          <w:rFonts w:ascii="Arial" w:cs="Arial" w:eastAsia="Arial" w:hAnsi="Arial"/>
          <w:sz w:val="20"/>
          <w:szCs w:val="20"/>
          <w:color w:val="auto"/>
        </w:rPr>
        <w:t xml:space="preserve">The call may be accessed through a live audio webcast on the Investor Relations section of the Company’s website, </w:t>
      </w:r>
      <w:r>
        <w:rPr>
          <w:rFonts w:ascii="Arial" w:cs="Arial" w:eastAsia="Arial" w:hAnsi="Arial"/>
          <w:sz w:val="20"/>
          <w:szCs w:val="20"/>
          <w:color w:val="0000EE"/>
        </w:rPr>
        <w:t>https://kodiak.ai/investors</w:t>
      </w:r>
      <w:r>
        <w:rPr>
          <w:rFonts w:ascii="Arial" w:cs="Arial" w:eastAsia="Arial" w:hAnsi="Arial"/>
          <w:sz w:val="20"/>
          <w:szCs w:val="20"/>
          <w:color w:val="000000"/>
        </w:rPr>
        <w:t>. An audio replay will be available at the same location.</w:t>
      </w:r>
    </w:p>
    <w:p>
      <w:pPr>
        <w:spacing w:after="0" w:line="15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Kodiak AI, Inc.</w:t>
      </w:r>
    </w:p>
    <w:p>
      <w:pPr>
        <w:spacing w:after="0" w:line="218" w:lineRule="exact"/>
        <w:rPr>
          <w:sz w:val="20"/>
          <w:szCs w:val="20"/>
          <w:color w:val="auto"/>
        </w:rPr>
      </w:pPr>
    </w:p>
    <w:p>
      <w:pPr>
        <w:spacing w:after="0" w:line="267" w:lineRule="auto"/>
        <w:rPr>
          <w:sz w:val="20"/>
          <w:szCs w:val="20"/>
          <w:color w:val="auto"/>
        </w:rPr>
      </w:pPr>
      <w:r>
        <w:rPr>
          <w:rFonts w:ascii="Arial" w:cs="Arial" w:eastAsia="Arial" w:hAnsi="Arial"/>
          <w:sz w:val="19"/>
          <w:szCs w:val="19"/>
          <w:color w:val="auto"/>
        </w:rPr>
        <w:t>Kodiak AI, Inc. was founded in 2018 and is a leading provider of AI-powered autonomous vehicle technology that is designed to help tackle some of the toughest driving jobs. Kodiak's driverless solution can help address the critical problem of safely transporting goods in the face of unprecedented supply chain challenges. Kodiak's vision is to become the trusted world leader in autonomous ground transportation. Kodiak is committed to a safer and more efficient future for all through the commercialization of driverless trucking at scale. To that end, Kodiak developed the Kodiak Driver, a virtual driver that combines advanced AI-powered software with modular and vehicle-agnostic hardware designed to help address Kodiak's customers' needs. The Kodiak Driver is not just an idea—it is commercially operating without anyone in the cab today. Kodiak serves customers in the long-haul trucking, industrial trucking, and defense industries. In 2024, Kodiak believes it achieved a historic milestone by becoming the first company to deploy customer-owned and -operated driverless trucks in commercial service.</w:t>
      </w:r>
    </w:p>
    <w:p>
      <w:pPr>
        <w:spacing w:after="0" w:line="161"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For more information about Kodiak, please visit </w:t>
      </w:r>
      <w:r>
        <w:rPr>
          <w:rFonts w:ascii="Arial" w:cs="Arial" w:eastAsia="Arial" w:hAnsi="Arial"/>
          <w:sz w:val="20"/>
          <w:szCs w:val="20"/>
          <w:u w:val="single" w:color="auto"/>
          <w:color w:val="0000EE"/>
        </w:rPr>
        <w:t>https://kodiak.ai/investors</w:t>
      </w:r>
      <w:r>
        <w:rPr>
          <w:rFonts w:ascii="Arial" w:cs="Arial" w:eastAsia="Arial" w:hAnsi="Arial"/>
          <w:sz w:val="20"/>
          <w:szCs w:val="20"/>
          <w:color w:val="auto"/>
        </w:rPr>
        <w:t>.</w:t>
      </w:r>
    </w:p>
    <w:p>
      <w:pPr>
        <w:sectPr>
          <w:pgSz w:w="11900" w:h="16838" w:orient="portrait"/>
          <w:cols w:equalWidth="0" w:num="1">
            <w:col w:w="11180"/>
          </w:cols>
          <w:pgMar w:left="320" w:top="1385" w:right="399" w:bottom="1440" w:gutter="0" w:footer="0" w:header="0"/>
        </w:sectPr>
      </w:pPr>
    </w:p>
    <w:bookmarkStart w:id="58" w:name="page59"/>
    <w:bookmarkEnd w:id="58"/>
    <w:p>
      <w:pPr>
        <w:spacing w:after="0"/>
        <w:rPr>
          <w:sz w:val="20"/>
          <w:szCs w:val="20"/>
          <w:color w:val="auto"/>
        </w:rPr>
      </w:pPr>
      <w:r>
        <w:rPr>
          <w:rFonts w:ascii="Arial" w:cs="Arial" w:eastAsia="Arial" w:hAnsi="Arial"/>
          <w:sz w:val="20"/>
          <w:szCs w:val="20"/>
          <w:b w:val="1"/>
          <w:bCs w:val="1"/>
          <w:color w:val="auto"/>
        </w:rPr>
        <w:t>Contacts</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Kodiak Media Relations</w:t>
      </w:r>
    </w:p>
    <w:p>
      <w:pPr>
        <w:spacing w:after="0" w:line="56" w:lineRule="exact"/>
        <w:rPr>
          <w:sz w:val="20"/>
          <w:szCs w:val="20"/>
          <w:color w:val="auto"/>
        </w:rPr>
      </w:pPr>
    </w:p>
    <w:p>
      <w:pPr>
        <w:spacing w:after="0"/>
        <w:rPr>
          <w:sz w:val="20"/>
          <w:szCs w:val="20"/>
          <w:color w:val="auto"/>
        </w:rPr>
      </w:pPr>
      <w:r>
        <w:rPr>
          <w:rFonts w:ascii="Arial" w:cs="Arial" w:eastAsia="Arial" w:hAnsi="Arial"/>
          <w:sz w:val="20"/>
          <w:szCs w:val="20"/>
          <w:color w:val="auto"/>
        </w:rPr>
        <w:t>Daniel Goff</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VP of External Affairs</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+1 646-515-3933</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u w:val="single" w:color="auto"/>
          <w:color w:val="3051F2"/>
        </w:rPr>
        <w:t>dan@kodiak.ai</w:t>
      </w:r>
    </w:p>
    <w:p>
      <w:pPr>
        <w:spacing w:after="0" w:line="283" w:lineRule="exact"/>
        <w:rPr>
          <w:sz w:val="20"/>
          <w:szCs w:val="20"/>
          <w:color w:val="auto"/>
        </w:rPr>
      </w:pPr>
    </w:p>
    <w:p>
      <w:pPr>
        <w:spacing w:after="0"/>
        <w:rPr>
          <w:sz w:val="20"/>
          <w:szCs w:val="20"/>
          <w:color w:val="auto"/>
        </w:rPr>
      </w:pPr>
      <w:r>
        <w:rPr>
          <w:rFonts w:ascii="Arial" w:cs="Arial" w:eastAsia="Arial" w:hAnsi="Arial"/>
          <w:sz w:val="20"/>
          <w:szCs w:val="20"/>
          <w:color w:val="auto"/>
        </w:rPr>
        <w:t>Stacy Morris</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Futurista Communications for Kodiak</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+1 310-415-9188</w:t>
      </w:r>
    </w:p>
    <w:p>
      <w:pPr>
        <w:spacing w:after="0" w:line="54" w:lineRule="exact"/>
        <w:rPr>
          <w:sz w:val="20"/>
          <w:szCs w:val="20"/>
          <w:color w:val="auto"/>
        </w:rPr>
      </w:pPr>
    </w:p>
    <w:p>
      <w:pPr>
        <w:spacing w:after="0"/>
        <w:rPr>
          <w:sz w:val="20"/>
          <w:szCs w:val="20"/>
          <w:color w:val="auto"/>
        </w:rPr>
      </w:pPr>
      <w:r>
        <w:rPr>
          <w:rFonts w:ascii="Arial" w:cs="Arial" w:eastAsia="Arial" w:hAnsi="Arial"/>
          <w:sz w:val="19"/>
          <w:szCs w:val="19"/>
          <w:u w:val="single" w:color="auto"/>
          <w:color w:val="3051F2"/>
        </w:rPr>
        <w:t>stacy.morris@futuristacommunications.com</w:t>
      </w:r>
    </w:p>
    <w:p>
      <w:pPr>
        <w:spacing w:after="0" w:line="34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Kodiak Investor Relations</w:t>
      </w:r>
    </w:p>
    <w:p>
      <w:pPr>
        <w:spacing w:after="0" w:line="69" w:lineRule="exact"/>
        <w:rPr>
          <w:sz w:val="20"/>
          <w:szCs w:val="20"/>
          <w:color w:val="auto"/>
        </w:rPr>
      </w:pPr>
    </w:p>
    <w:p>
      <w:pPr>
        <w:spacing w:after="0"/>
        <w:rPr>
          <w:sz w:val="20"/>
          <w:szCs w:val="20"/>
          <w:color w:val="auto"/>
        </w:rPr>
      </w:pPr>
      <w:r>
        <w:rPr>
          <w:rFonts w:ascii="Arial" w:cs="Arial" w:eastAsia="Arial" w:hAnsi="Arial"/>
          <w:sz w:val="20"/>
          <w:szCs w:val="20"/>
          <w:color w:val="auto"/>
        </w:rPr>
        <w:t>Lauren Sloane</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The Blueshirt Group for Kodiak</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u w:val="single" w:color="auto"/>
          <w:color w:val="3051F2"/>
        </w:rPr>
        <w:t>Lauren@blueshirtgroup.com</w:t>
      </w:r>
    </w:p>
    <w:p>
      <w:pPr>
        <w:sectPr>
          <w:pgSz w:w="11900" w:h="16838" w:orient="portrait"/>
          <w:cols w:equalWidth="0" w:num="1">
            <w:col w:w="10139"/>
          </w:cols>
          <w:pgMar w:left="320" w:top="1385" w:right="1440" w:bottom="1440" w:gutter="0" w:footer="0" w:header="0"/>
        </w:sectPr>
      </w:pPr>
    </w:p>
    <w:bookmarkStart w:id="59" w:name="page60"/>
    <w:bookmarkEnd w:id="59"/>
    <w:p>
      <w:pPr>
        <w:spacing w:after="0" w:line="10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 Looking Statements</w:t>
      </w:r>
    </w:p>
    <w:p>
      <w:pPr>
        <w:spacing w:after="0" w:line="199" w:lineRule="exact"/>
        <w:rPr>
          <w:sz w:val="20"/>
          <w:szCs w:val="20"/>
          <w:color w:val="auto"/>
        </w:rPr>
      </w:pPr>
    </w:p>
    <w:p>
      <w:pPr>
        <w:spacing w:after="0" w:line="247" w:lineRule="auto"/>
        <w:rPr>
          <w:sz w:val="20"/>
          <w:szCs w:val="20"/>
          <w:color w:val="auto"/>
        </w:rPr>
      </w:pPr>
      <w:r>
        <w:rPr>
          <w:rFonts w:ascii="Arial" w:cs="Arial" w:eastAsia="Arial" w:hAnsi="Arial"/>
          <w:sz w:val="21"/>
          <w:szCs w:val="21"/>
          <w:color w:val="auto"/>
        </w:rPr>
        <w:t>This press release includes “forward-looking statements” within the meaning of Section 27A of the Securities Act of 1933, Section 21E of the Securities Exchange Act of 1934, and the “safe harbor” provisions of the United States Private Securities Litigation Reform Act of 1995, each as amended, including Kodiak’s expectations, hopes, beliefs, intentions or strategies regarding the future. Forward-looking statements may be identified by the use of words such as “anticipate,” “believe,” “continue,” “could,” “estimate,” “forecast,” “intend,” “expect,” “may,” “plan,” “potential,” “project,” “seek,” “should,” “will,” “would” and similar expressions that predict or indicate future events or trends or that are not statements of historical matters, but the absence of these words does not mean that a statement is not forward-looking. These forward-looking statements include, but are not limited to, statements regarding: Kodiak’s operational and product roadmap, its relationships with partners and suppliers, and its ability to produce and deploy the Kodiak Driver at scale; expectations regarding Kodiak’s expansion plans and opportunities, including its addressable markets and the timing of launching driverless trucks for long-haul highways operations; Kodiak’s expected liquidity; and other expectations regarding Kodiak’s future business and financial performance, such as Kodiak’s approach to operational and financial discipline, its future cash flows, and path to profitability and free cash flow. These statements are based on various assumptions, whether or not identified in this press release, and on the current expectations of Kodiak’s management and are not predictions of actual performance. These forward-looking statements are not intended to serve as, and must not be relied upon by any investors as, a guarantee, an assurance, a prediction or a definitive statement of fact or probability. Actual events and circumstances are difficult or impossible to predict and will differ from assumptions. Many actual events and circumstances are beyond the control of Kodiak. These forward-looking statements are subject to a number of risks and uncertainties, including that the PIPE financing may not close on the timeline or in the amounts expected; changes in business, market, financial, political and legal conditions; the rapid evolution of autonomous vehicle technology and flaws or errors in Kodiak’s solutions or flaws in or misuse of autonomous vehicle technology in general; risks related to the rollout of Kodiak’s business and the timing of expected business milestones; the effects of competition on Kodiak’s business; supply shortages in the materials necessary for the production of the Kodiak Driver; risks related to working with third-party manufacturers for key components of the Kodiak Driver; risks related to the retrofitting of Kodiak’s vehicles by third parties; the termination or suspension of any of Kodiak’s contracts or the reduction in counterparty spending; delays in Kodiak’s operational roadmap with key partners and customers; and Kodiak’s ability to raise capital in the future. Additional information concerning these and other factors that may impact such forward-looking statements can be found in filings by Kodiak with the Securities and Exchange Commission (the “SEC”), which are available on the SEC’s website at www.sec.gov. If any of these risks materialize or any assumptions prove incorrect, actual results could differ materially from the results implied by these forward-looking statements. There may be additional risks that Kodiak may not presently know or that Kodiak currently believes are immaterial that could also cause actual results to differ from those contained in the forward-looking statements. In addition, forward-looking statements reflect Kodiak’s expectations, plans or forecasts of future events and views as of the date of this press release. These forward-looking statements should not be relied upon as representing Kodiak’s assessments as of any date subsequent to the date of this press release. Accordingly, undue reliance should not be placed upon the forward-looking statements. Except as required by law, Kodiak specifically disclaims any obligation to update any forward-looking statements.</w:t>
      </w:r>
    </w:p>
    <w:p>
      <w:pPr>
        <w:sectPr>
          <w:pgSz w:w="11900" w:h="16838" w:orient="portrait"/>
          <w:cols w:equalWidth="0" w:num="1">
            <w:col w:w="11240"/>
          </w:cols>
          <w:pgMar w:left="320" w:top="1440" w:right="339" w:bottom="1440" w:gutter="0" w:footer="0" w:header="0"/>
        </w:sectPr>
      </w:pPr>
    </w:p>
    <w:bookmarkStart w:id="60" w:name="page61"/>
    <w:bookmarkEnd w:id="60"/>
    <w:p>
      <w:pPr>
        <w:spacing w:after="0" w:line="1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Non-GAAP Financial Measures</w:t>
      </w:r>
    </w:p>
    <w:p>
      <w:pPr>
        <w:spacing w:after="0" w:line="218" w:lineRule="exact"/>
        <w:rPr>
          <w:sz w:val="20"/>
          <w:szCs w:val="20"/>
          <w:color w:val="auto"/>
        </w:rPr>
      </w:pPr>
    </w:p>
    <w:p>
      <w:pPr>
        <w:jc w:val="both"/>
        <w:ind w:right="40"/>
        <w:spacing w:after="0" w:line="270" w:lineRule="auto"/>
        <w:rPr>
          <w:sz w:val="20"/>
          <w:szCs w:val="20"/>
          <w:color w:val="auto"/>
        </w:rPr>
      </w:pPr>
      <w:r>
        <w:rPr>
          <w:rFonts w:ascii="Arial" w:cs="Arial" w:eastAsia="Arial" w:hAnsi="Arial"/>
          <w:sz w:val="19"/>
          <w:szCs w:val="19"/>
          <w:color w:val="auto"/>
        </w:rPr>
        <w:t>In addition to our financial results determined in accordance with GAAP, we consider certain non-GAAP measures, including the following, which we use to evaluate our ongoing operations and for internal planning and forecasting purposes. We believe that non-GAAP financial information, when taken collectively with the financial information presented in accordance with GAAP, may be helpful to investors because it provides consistency and comparability with past financial performance. However, non-GAAP financial information is presented for supplemental informational purposes only, has limitations as an analytical tool, and should not be considered in isolation or as a substitute for financial information presented in accordance with GAAP.</w:t>
      </w:r>
    </w:p>
    <w:p>
      <w:pPr>
        <w:spacing w:after="0" w:line="159" w:lineRule="exact"/>
        <w:rPr>
          <w:sz w:val="20"/>
          <w:szCs w:val="20"/>
          <w:color w:val="auto"/>
        </w:rPr>
      </w:pPr>
    </w:p>
    <w:p>
      <w:pPr>
        <w:ind w:right="80"/>
        <w:spacing w:after="0" w:line="259" w:lineRule="auto"/>
        <w:rPr>
          <w:sz w:val="20"/>
          <w:szCs w:val="20"/>
          <w:color w:val="auto"/>
        </w:rPr>
      </w:pPr>
      <w:r>
        <w:rPr>
          <w:rFonts w:ascii="Arial" w:cs="Arial" w:eastAsia="Arial" w:hAnsi="Arial"/>
          <w:sz w:val="20"/>
          <w:szCs w:val="20"/>
          <w:color w:val="auto"/>
        </w:rPr>
        <w:t>Other companies, including companies in our industry, may calculate similarly titled non-GAAP measures differently or may use other measures to evaluate their performance, all of which could reduce the usefulness of our non-GAAP financial measures as tools for comparison. In addition, the utility of free cash flow as a measure of our liquidity is limited as it does not represent the total increase or decrease in our cash balance for a given period.</w:t>
      </w:r>
    </w:p>
    <w:p>
      <w:pPr>
        <w:spacing w:after="0" w:line="182" w:lineRule="exact"/>
        <w:rPr>
          <w:sz w:val="20"/>
          <w:szCs w:val="20"/>
          <w:color w:val="auto"/>
        </w:rPr>
      </w:pPr>
    </w:p>
    <w:p>
      <w:pPr>
        <w:ind w:right="180"/>
        <w:spacing w:after="0" w:line="262" w:lineRule="auto"/>
        <w:rPr>
          <w:sz w:val="20"/>
          <w:szCs w:val="20"/>
          <w:color w:val="auto"/>
        </w:rPr>
      </w:pPr>
      <w:r>
        <w:rPr>
          <w:rFonts w:ascii="Arial" w:cs="Arial" w:eastAsia="Arial" w:hAnsi="Arial"/>
          <w:sz w:val="20"/>
          <w:szCs w:val="20"/>
          <w:color w:val="auto"/>
        </w:rPr>
        <w:t>Investors are encouraged to review the related GAAP financial measures and the reconciliation of these non-GAAP financial measures to their most directly comparable GAAP financial measures and not rely on any single financial measure to evaluate our business.</w:t>
      </w:r>
    </w:p>
    <w:p>
      <w:pPr>
        <w:spacing w:after="0" w:line="178" w:lineRule="exact"/>
        <w:rPr>
          <w:sz w:val="20"/>
          <w:szCs w:val="20"/>
          <w:color w:val="auto"/>
        </w:rPr>
      </w:pPr>
    </w:p>
    <w:p>
      <w:pPr>
        <w:ind w:right="300"/>
        <w:spacing w:after="0" w:line="255" w:lineRule="auto"/>
        <w:rPr>
          <w:sz w:val="20"/>
          <w:szCs w:val="20"/>
          <w:color w:val="auto"/>
        </w:rPr>
      </w:pPr>
      <w:r>
        <w:rPr>
          <w:rFonts w:ascii="Arial" w:cs="Arial" w:eastAsia="Arial" w:hAnsi="Arial"/>
          <w:sz w:val="20"/>
          <w:szCs w:val="20"/>
          <w:color w:val="auto"/>
        </w:rPr>
        <w:t>This press release and our earnings call may also include references to forward-looking free cash flow, a non-GAAP financial measure. To the extent that such forward-looking financial measures are provided, they are presented on a non-GAAP basis without a reconciliation to the most directly comparable GAAP measure due to the inherent difficulty in forecasting and quantifying certain amounts that are necessary for such reconciliation.</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Non-GAAP Operating Expenses and Non-GAAP Loss from Operations</w:t>
      </w:r>
    </w:p>
    <w:p>
      <w:pPr>
        <w:spacing w:after="0" w:line="229" w:lineRule="exact"/>
        <w:rPr>
          <w:sz w:val="20"/>
          <w:szCs w:val="20"/>
          <w:color w:val="auto"/>
        </w:rPr>
      </w:pPr>
    </w:p>
    <w:p>
      <w:pPr>
        <w:ind w:right="20"/>
        <w:spacing w:after="0" w:line="250" w:lineRule="auto"/>
        <w:rPr>
          <w:sz w:val="20"/>
          <w:szCs w:val="20"/>
          <w:color w:val="auto"/>
        </w:rPr>
      </w:pPr>
      <w:r>
        <w:rPr>
          <w:rFonts w:ascii="Arial" w:cs="Arial" w:eastAsia="Arial" w:hAnsi="Arial"/>
          <w:sz w:val="20"/>
          <w:szCs w:val="20"/>
          <w:color w:val="auto"/>
        </w:rPr>
        <w:t>We define these non-GAAP financial measures as their respective GAAP measures, each excluding stock-based compensation expense. We use these non-GAAP financial measures as part of our overall assessment of our performance, including the preparation of our annual operating budget and quarterly forecasts, to evaluate the effectiveness of our business strategies, and to communicate with our board of directors concerning our financial performance. Stock-based compensation is a non-cash expense that varies in amount from period to period and is dependent on market forces that are often beyond our control. As a result, management excludes this item from internal operating forecasts and models. Management believes that non-GAAP measures adjusted for stock-based compensation provide investors with a basis to measure our performance against the performance of other companies without the variability created by stock-based compensation as a result of the variety of equity awards used by other companies and the varying methodologies and assumptions used.</w:t>
      </w:r>
    </w:p>
    <w:p>
      <w:pPr>
        <w:spacing w:after="0" w:line="19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Free Cash Flow</w:t>
      </w:r>
    </w:p>
    <w:p>
      <w:pPr>
        <w:spacing w:after="0" w:line="216" w:lineRule="exact"/>
        <w:rPr>
          <w:sz w:val="20"/>
          <w:szCs w:val="20"/>
          <w:color w:val="auto"/>
        </w:rPr>
      </w:pPr>
    </w:p>
    <w:p>
      <w:pPr>
        <w:spacing w:after="0" w:line="259" w:lineRule="auto"/>
        <w:rPr>
          <w:sz w:val="20"/>
          <w:szCs w:val="20"/>
          <w:color w:val="auto"/>
        </w:rPr>
      </w:pPr>
      <w:r>
        <w:rPr>
          <w:rFonts w:ascii="Arial" w:cs="Arial" w:eastAsia="Arial" w:hAnsi="Arial"/>
          <w:sz w:val="20"/>
          <w:szCs w:val="20"/>
          <w:color w:val="auto"/>
        </w:rPr>
        <w:t>We define free cash flow as cash used in operating activities, which is the most directly comparable measure calculated in accordance with GAAP, less purchases of property and equipment. We believe free cash flow is a useful indicator of liquidity that provides our management, board of directors, and investors with information about our future ability to generate or use cash to enhance the strength of our balance sheet and further invest in our business and pursue potential strategic initiatives.</w:t>
      </w:r>
    </w:p>
    <w:p>
      <w:pPr>
        <w:sectPr>
          <w:pgSz w:w="11900" w:h="16838" w:orient="portrait"/>
          <w:cols w:equalWidth="0" w:num="1">
            <w:col w:w="11220"/>
          </w:cols>
          <w:pgMar w:left="320" w:top="1440" w:right="359" w:bottom="1440" w:gutter="0" w:footer="0" w:header="0"/>
        </w:sectPr>
      </w:pPr>
    </w:p>
    <w:bookmarkStart w:id="61" w:name="page62"/>
    <w:bookmarkEnd w:id="61"/>
    <w:p>
      <w:pPr>
        <w:spacing w:after="0" w:line="3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Kodiak AI, Inc.</w:t>
      </w:r>
    </w:p>
    <w:p>
      <w:pPr>
        <w:spacing w:after="0" w:line="225"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25" w:lineRule="exact"/>
        <w:rPr>
          <w:sz w:val="20"/>
          <w:szCs w:val="20"/>
          <w:color w:val="auto"/>
        </w:rPr>
      </w:pPr>
    </w:p>
    <w:p>
      <w:pPr>
        <w:ind w:left="3680"/>
        <w:spacing w:after="0"/>
        <w:rPr>
          <w:sz w:val="20"/>
          <w:szCs w:val="20"/>
          <w:color w:val="auto"/>
        </w:rPr>
      </w:pPr>
      <w:r>
        <w:rPr>
          <w:rFonts w:ascii="Arial" w:cs="Arial" w:eastAsia="Arial" w:hAnsi="Arial"/>
          <w:sz w:val="18"/>
          <w:szCs w:val="18"/>
          <w:b w:val="1"/>
          <w:bCs w:val="1"/>
          <w:color w:val="auto"/>
        </w:rPr>
        <w:t>(In thousands, except par values; unaudited)</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gridSpan w:val="2"/>
          </w:tcPr>
          <w:p>
            <w:pPr>
              <w:ind w:left="160"/>
              <w:spacing w:after="0"/>
              <w:rPr>
                <w:sz w:val="20"/>
                <w:szCs w:val="20"/>
                <w:color w:val="auto"/>
              </w:rPr>
            </w:pPr>
            <w:r>
              <w:rPr>
                <w:rFonts w:ascii="Arial" w:cs="Arial" w:eastAsia="Arial" w:hAnsi="Arial"/>
                <w:sz w:val="18"/>
                <w:szCs w:val="18"/>
                <w:b w:val="1"/>
                <w:bCs w:val="1"/>
                <w:color w:val="auto"/>
              </w:rPr>
              <w:t>March 31,</w:t>
            </w:r>
          </w:p>
        </w:tc>
        <w:tc>
          <w:tcPr>
            <w:tcW w:w="180" w:type="dxa"/>
            <w:vAlign w:val="bottom"/>
          </w:tcPr>
          <w:p>
            <w:pPr>
              <w:spacing w:after="0"/>
              <w:rPr>
                <w:sz w:val="18"/>
                <w:szCs w:val="18"/>
                <w:color w:val="auto"/>
              </w:rPr>
            </w:pPr>
          </w:p>
        </w:tc>
        <w:tc>
          <w:tcPr>
            <w:tcW w:w="1460" w:type="dxa"/>
            <w:vAlign w:val="bottom"/>
          </w:tcPr>
          <w:p>
            <w:pPr>
              <w:jc w:val="right"/>
              <w:ind w:right="150"/>
              <w:spacing w:after="0"/>
              <w:rPr>
                <w:sz w:val="20"/>
                <w:szCs w:val="20"/>
                <w:color w:val="auto"/>
              </w:rPr>
            </w:pPr>
            <w:r>
              <w:rPr>
                <w:rFonts w:ascii="Arial" w:cs="Arial" w:eastAsia="Arial" w:hAnsi="Arial"/>
                <w:sz w:val="18"/>
                <w:szCs w:val="18"/>
                <w:b w:val="1"/>
                <w:bCs w:val="1"/>
                <w:color w:val="auto"/>
              </w:rPr>
              <w:t>December 31,</w:t>
            </w:r>
          </w:p>
        </w:tc>
      </w:tr>
      <w:tr>
        <w:trPr>
          <w:trHeight w:val="255"/>
        </w:trPr>
        <w:tc>
          <w:tcPr>
            <w:tcW w:w="768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2026</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2025</w:t>
            </w:r>
          </w:p>
        </w:tc>
      </w:tr>
      <w:tr>
        <w:trPr>
          <w:trHeight w:val="257"/>
        </w:trPr>
        <w:tc>
          <w:tcPr>
            <w:tcW w:w="76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6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60" w:type="dxa"/>
            <w:vAlign w:val="bottom"/>
            <w:shd w:val="clear" w:color="auto" w:fill="CCEEFF"/>
          </w:tcPr>
          <w:p>
            <w:pPr>
              <w:spacing w:after="0"/>
              <w:rPr>
                <w:sz w:val="22"/>
                <w:szCs w:val="22"/>
                <w:color w:val="auto"/>
              </w:rPr>
            </w:pPr>
          </w:p>
        </w:tc>
      </w:tr>
      <w:tr>
        <w:trPr>
          <w:trHeight w:val="247"/>
        </w:trPr>
        <w:tc>
          <w:tcPr>
            <w:tcW w:w="768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6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23"/>
        </w:trPr>
        <w:tc>
          <w:tcPr>
            <w:tcW w:w="7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6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64,950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50,761</w:t>
            </w:r>
          </w:p>
        </w:tc>
      </w:tr>
      <w:tr>
        <w:trPr>
          <w:trHeight w:val="247"/>
        </w:trPr>
        <w:tc>
          <w:tcPr>
            <w:tcW w:w="7680" w:type="dxa"/>
            <w:vAlign w:val="bottom"/>
          </w:tcPr>
          <w:p>
            <w:pPr>
              <w:ind w:left="380"/>
              <w:spacing w:after="0"/>
              <w:rPr>
                <w:sz w:val="20"/>
                <w:szCs w:val="20"/>
                <w:color w:val="auto"/>
              </w:rPr>
            </w:pPr>
            <w:r>
              <w:rPr>
                <w:rFonts w:ascii="Arial" w:cs="Arial" w:eastAsia="Arial" w:hAnsi="Arial"/>
                <w:sz w:val="18"/>
                <w:szCs w:val="18"/>
                <w:color w:val="auto"/>
              </w:rPr>
              <w:t>Marketable securities</w:t>
            </w:r>
          </w:p>
        </w:tc>
        <w:tc>
          <w:tcPr>
            <w:tcW w:w="2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25,242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69,908</w:t>
            </w:r>
          </w:p>
        </w:tc>
      </w:tr>
      <w:tr>
        <w:trPr>
          <w:trHeight w:val="23"/>
        </w:trPr>
        <w:tc>
          <w:tcPr>
            <w:tcW w:w="7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6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receivable</w:t>
            </w:r>
          </w:p>
        </w:tc>
        <w:tc>
          <w:tcPr>
            <w:tcW w:w="2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879</w:t>
            </w:r>
          </w:p>
        </w:tc>
      </w:tr>
      <w:tr>
        <w:trPr>
          <w:trHeight w:val="247"/>
        </w:trPr>
        <w:tc>
          <w:tcPr>
            <w:tcW w:w="7680" w:type="dxa"/>
            <w:vAlign w:val="bottom"/>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2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4,646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4,464</w:t>
            </w:r>
          </w:p>
        </w:tc>
      </w:tr>
      <w:tr>
        <w:trPr>
          <w:trHeight w:val="23"/>
        </w:trPr>
        <w:tc>
          <w:tcPr>
            <w:tcW w:w="76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3"/>
        </w:trPr>
        <w:tc>
          <w:tcPr>
            <w:tcW w:w="76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current assets</w:t>
            </w:r>
          </w:p>
        </w:tc>
        <w:tc>
          <w:tcPr>
            <w:tcW w:w="2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95,338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126,012</w:t>
            </w:r>
          </w:p>
        </w:tc>
      </w:tr>
      <w:tr>
        <w:trPr>
          <w:trHeight w:val="247"/>
        </w:trPr>
        <w:tc>
          <w:tcPr>
            <w:tcW w:w="7680" w:type="dxa"/>
            <w:vAlign w:val="bottom"/>
          </w:tcPr>
          <w:p>
            <w:pPr>
              <w:ind w:left="20"/>
              <w:spacing w:after="0"/>
              <w:rPr>
                <w:sz w:val="20"/>
                <w:szCs w:val="20"/>
                <w:color w:val="auto"/>
              </w:rPr>
            </w:pPr>
            <w:r>
              <w:rPr>
                <w:rFonts w:ascii="Arial" w:cs="Arial" w:eastAsia="Arial" w:hAnsi="Arial"/>
                <w:sz w:val="18"/>
                <w:szCs w:val="18"/>
                <w:color w:val="auto"/>
              </w:rPr>
              <w:t>Restricted cash</w:t>
            </w:r>
          </w:p>
        </w:tc>
        <w:tc>
          <w:tcPr>
            <w:tcW w:w="2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850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1,450</w:t>
            </w:r>
          </w:p>
        </w:tc>
      </w:tr>
      <w:tr>
        <w:trPr>
          <w:trHeight w:val="23"/>
        </w:trPr>
        <w:tc>
          <w:tcPr>
            <w:tcW w:w="7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2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29,746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26,553</w:t>
            </w:r>
          </w:p>
        </w:tc>
      </w:tr>
      <w:tr>
        <w:trPr>
          <w:trHeight w:val="247"/>
        </w:trPr>
        <w:tc>
          <w:tcPr>
            <w:tcW w:w="7680" w:type="dxa"/>
            <w:vAlign w:val="bottom"/>
          </w:tcPr>
          <w:p>
            <w:pPr>
              <w:ind w:left="20"/>
              <w:spacing w:after="0"/>
              <w:rPr>
                <w:sz w:val="20"/>
                <w:szCs w:val="20"/>
                <w:color w:val="auto"/>
              </w:rPr>
            </w:pPr>
            <w:r>
              <w:rPr>
                <w:rFonts w:ascii="Arial" w:cs="Arial" w:eastAsia="Arial" w:hAnsi="Arial"/>
                <w:sz w:val="18"/>
                <w:szCs w:val="18"/>
                <w:color w:val="auto"/>
              </w:rPr>
              <w:t>Operating lease right-of-use assets</w:t>
            </w:r>
          </w:p>
        </w:tc>
        <w:tc>
          <w:tcPr>
            <w:tcW w:w="2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4,762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5,261</w:t>
            </w:r>
          </w:p>
        </w:tc>
      </w:tr>
      <w:tr>
        <w:trPr>
          <w:trHeight w:val="23"/>
        </w:trPr>
        <w:tc>
          <w:tcPr>
            <w:tcW w:w="7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7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26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w:t>
            </w:r>
          </w:p>
        </w:tc>
      </w:tr>
      <w:tr>
        <w:trPr>
          <w:trHeight w:val="240"/>
        </w:trPr>
        <w:tc>
          <w:tcPr>
            <w:tcW w:w="7680" w:type="dxa"/>
            <w:vAlign w:val="bottom"/>
          </w:tcPr>
          <w:p>
            <w:pPr>
              <w:ind w:left="20"/>
              <w:spacing w:after="0"/>
              <w:rPr>
                <w:sz w:val="20"/>
                <w:szCs w:val="20"/>
                <w:color w:val="auto"/>
              </w:rPr>
            </w:pPr>
            <w:r>
              <w:rPr>
                <w:rFonts w:ascii="Arial" w:cs="Arial" w:eastAsia="Arial" w:hAnsi="Arial"/>
                <w:sz w:val="18"/>
                <w:szCs w:val="18"/>
                <w:b w:val="1"/>
                <w:bCs w:val="1"/>
                <w:color w:val="auto"/>
              </w:rPr>
              <w:t>Total assets</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130,820</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159,407</w:t>
            </w:r>
          </w:p>
        </w:tc>
      </w:tr>
      <w:tr>
        <w:trPr>
          <w:trHeight w:val="23"/>
        </w:trPr>
        <w:tc>
          <w:tcPr>
            <w:tcW w:w="76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0"/>
        </w:trPr>
        <w:tc>
          <w:tcPr>
            <w:tcW w:w="76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237"/>
        </w:trPr>
        <w:tc>
          <w:tcPr>
            <w:tcW w:w="76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 redeemable convertible preferred stock and stockholders’ deficit</w:t>
            </w:r>
          </w:p>
        </w:tc>
        <w:tc>
          <w:tcPr>
            <w:tcW w:w="26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r>
      <w:tr>
        <w:trPr>
          <w:trHeight w:val="247"/>
        </w:trPr>
        <w:tc>
          <w:tcPr>
            <w:tcW w:w="768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26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23"/>
        </w:trPr>
        <w:tc>
          <w:tcPr>
            <w:tcW w:w="7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6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1,455</w:t>
            </w:r>
          </w:p>
        </w:tc>
      </w:tr>
      <w:tr>
        <w:trPr>
          <w:trHeight w:val="247"/>
        </w:trPr>
        <w:tc>
          <w:tcPr>
            <w:tcW w:w="7680" w:type="dxa"/>
            <w:vAlign w:val="bottom"/>
          </w:tcPr>
          <w:p>
            <w:pPr>
              <w:ind w:left="380"/>
              <w:spacing w:after="0"/>
              <w:rPr>
                <w:sz w:val="20"/>
                <w:szCs w:val="20"/>
                <w:color w:val="auto"/>
              </w:rPr>
            </w:pPr>
            <w:r>
              <w:rPr>
                <w:rFonts w:ascii="Arial" w:cs="Arial" w:eastAsia="Arial" w:hAnsi="Arial"/>
                <w:sz w:val="18"/>
                <w:szCs w:val="18"/>
                <w:color w:val="auto"/>
              </w:rPr>
              <w:t>Accrued expenses and other current liabilities</w:t>
            </w:r>
          </w:p>
        </w:tc>
        <w:tc>
          <w:tcPr>
            <w:tcW w:w="2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10,817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11,354</w:t>
            </w:r>
          </w:p>
        </w:tc>
      </w:tr>
      <w:tr>
        <w:trPr>
          <w:trHeight w:val="23"/>
        </w:trPr>
        <w:tc>
          <w:tcPr>
            <w:tcW w:w="7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6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Operating lease liabilities, current</w:t>
            </w:r>
          </w:p>
        </w:tc>
        <w:tc>
          <w:tcPr>
            <w:tcW w:w="2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1,916</w:t>
            </w:r>
          </w:p>
        </w:tc>
      </w:tr>
      <w:tr>
        <w:trPr>
          <w:trHeight w:val="247"/>
        </w:trPr>
        <w:tc>
          <w:tcPr>
            <w:tcW w:w="7680" w:type="dxa"/>
            <w:vAlign w:val="bottom"/>
          </w:tcPr>
          <w:p>
            <w:pPr>
              <w:ind w:left="380"/>
              <w:spacing w:after="0"/>
              <w:rPr>
                <w:sz w:val="20"/>
                <w:szCs w:val="20"/>
                <w:color w:val="auto"/>
              </w:rPr>
            </w:pPr>
            <w:r>
              <w:rPr>
                <w:rFonts w:ascii="Arial" w:cs="Arial" w:eastAsia="Arial" w:hAnsi="Arial"/>
                <w:sz w:val="18"/>
                <w:szCs w:val="18"/>
                <w:color w:val="auto"/>
              </w:rPr>
              <w:t>Debt, current portion</w:t>
            </w:r>
          </w:p>
        </w:tc>
        <w:tc>
          <w:tcPr>
            <w:tcW w:w="2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936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1,065</w:t>
            </w:r>
          </w:p>
        </w:tc>
      </w:tr>
      <w:tr>
        <w:trPr>
          <w:trHeight w:val="23"/>
        </w:trPr>
        <w:tc>
          <w:tcPr>
            <w:tcW w:w="7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76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Second lien loans</w:t>
            </w:r>
          </w:p>
        </w:tc>
        <w:tc>
          <w:tcPr>
            <w:tcW w:w="26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11,346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10,872</w:t>
            </w:r>
          </w:p>
        </w:tc>
      </w:tr>
      <w:tr>
        <w:trPr>
          <w:trHeight w:val="240"/>
        </w:trPr>
        <w:tc>
          <w:tcPr>
            <w:tcW w:w="7680" w:type="dxa"/>
            <w:vAlign w:val="bottom"/>
          </w:tcPr>
          <w:p>
            <w:pPr>
              <w:ind w:left="720"/>
              <w:spacing w:after="0"/>
              <w:rPr>
                <w:sz w:val="20"/>
                <w:szCs w:val="20"/>
                <w:color w:val="auto"/>
              </w:rPr>
            </w:pPr>
            <w:r>
              <w:rPr>
                <w:rFonts w:ascii="Arial" w:cs="Arial" w:eastAsia="Arial" w:hAnsi="Arial"/>
                <w:sz w:val="18"/>
                <w:szCs w:val="18"/>
                <w:color w:val="auto"/>
              </w:rPr>
              <w:t>Total current liabilities</w:t>
            </w:r>
          </w:p>
        </w:tc>
        <w:tc>
          <w:tcPr>
            <w:tcW w:w="26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25,864</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26,662</w:t>
            </w:r>
          </w:p>
        </w:tc>
      </w:tr>
      <w:tr>
        <w:trPr>
          <w:trHeight w:val="23"/>
        </w:trPr>
        <w:tc>
          <w:tcPr>
            <w:tcW w:w="7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Debt, net of current portion</w:t>
            </w:r>
          </w:p>
        </w:tc>
        <w:tc>
          <w:tcPr>
            <w:tcW w:w="2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29,752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29,878</w:t>
            </w:r>
          </w:p>
        </w:tc>
      </w:tr>
      <w:tr>
        <w:trPr>
          <w:trHeight w:val="247"/>
        </w:trPr>
        <w:tc>
          <w:tcPr>
            <w:tcW w:w="7680" w:type="dxa"/>
            <w:vAlign w:val="bottom"/>
          </w:tcPr>
          <w:p>
            <w:pPr>
              <w:ind w:left="20"/>
              <w:spacing w:after="0"/>
              <w:rPr>
                <w:sz w:val="20"/>
                <w:szCs w:val="20"/>
                <w:color w:val="auto"/>
              </w:rPr>
            </w:pPr>
            <w:r>
              <w:rPr>
                <w:rFonts w:ascii="Arial" w:cs="Arial" w:eastAsia="Arial" w:hAnsi="Arial"/>
                <w:sz w:val="18"/>
                <w:szCs w:val="18"/>
                <w:color w:val="auto"/>
              </w:rPr>
              <w:t>Operating lease liabilities, noncurrent</w:t>
            </w:r>
          </w:p>
        </w:tc>
        <w:tc>
          <w:tcPr>
            <w:tcW w:w="2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3,253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3,584</w:t>
            </w:r>
          </w:p>
        </w:tc>
      </w:tr>
      <w:tr>
        <w:trPr>
          <w:trHeight w:val="23"/>
        </w:trPr>
        <w:tc>
          <w:tcPr>
            <w:tcW w:w="7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Common stock warrants</w:t>
            </w:r>
          </w:p>
        </w:tc>
        <w:tc>
          <w:tcPr>
            <w:tcW w:w="2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93,688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158,346</w:t>
            </w:r>
          </w:p>
        </w:tc>
      </w:tr>
      <w:tr>
        <w:trPr>
          <w:trHeight w:val="247"/>
        </w:trPr>
        <w:tc>
          <w:tcPr>
            <w:tcW w:w="7680" w:type="dxa"/>
            <w:vAlign w:val="bottom"/>
          </w:tcPr>
          <w:p>
            <w:pPr>
              <w:ind w:left="20"/>
              <w:spacing w:after="0"/>
              <w:rPr>
                <w:sz w:val="20"/>
                <w:szCs w:val="20"/>
                <w:color w:val="auto"/>
              </w:rPr>
            </w:pPr>
            <w:r>
              <w:rPr>
                <w:rFonts w:ascii="Arial" w:cs="Arial" w:eastAsia="Arial" w:hAnsi="Arial"/>
                <w:sz w:val="18"/>
                <w:szCs w:val="18"/>
                <w:color w:val="auto"/>
              </w:rPr>
              <w:t>Other liabilities</w:t>
            </w:r>
          </w:p>
        </w:tc>
        <w:tc>
          <w:tcPr>
            <w:tcW w:w="2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996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804</w:t>
            </w:r>
          </w:p>
        </w:tc>
      </w:tr>
      <w:tr>
        <w:trPr>
          <w:trHeight w:val="23"/>
        </w:trPr>
        <w:tc>
          <w:tcPr>
            <w:tcW w:w="76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3"/>
        </w:trPr>
        <w:tc>
          <w:tcPr>
            <w:tcW w:w="7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153,553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219,274</w:t>
            </w:r>
          </w:p>
        </w:tc>
      </w:tr>
      <w:tr>
        <w:trPr>
          <w:trHeight w:val="247"/>
        </w:trPr>
        <w:tc>
          <w:tcPr>
            <w:tcW w:w="7680" w:type="dxa"/>
            <w:vAlign w:val="bottom"/>
          </w:tcPr>
          <w:p>
            <w:pPr>
              <w:ind w:left="20"/>
              <w:spacing w:after="0"/>
              <w:rPr>
                <w:sz w:val="20"/>
                <w:szCs w:val="20"/>
                <w:color w:val="auto"/>
              </w:rPr>
            </w:pPr>
            <w:r>
              <w:rPr>
                <w:rFonts w:ascii="Arial" w:cs="Arial" w:eastAsia="Arial" w:hAnsi="Arial"/>
                <w:sz w:val="18"/>
                <w:szCs w:val="18"/>
                <w:color w:val="auto"/>
              </w:rPr>
              <w:t>Commitments and contingencies</w:t>
            </w:r>
          </w:p>
        </w:tc>
        <w:tc>
          <w:tcPr>
            <w:tcW w:w="26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23"/>
        </w:trPr>
        <w:tc>
          <w:tcPr>
            <w:tcW w:w="7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76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Redeemable convertible preferred stock</w:t>
            </w:r>
          </w:p>
        </w:tc>
        <w:tc>
          <w:tcPr>
            <w:tcW w:w="26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r>
      <w:tr>
        <w:trPr>
          <w:trHeight w:val="247"/>
        </w:trPr>
        <w:tc>
          <w:tcPr>
            <w:tcW w:w="7680" w:type="dxa"/>
            <w:vAlign w:val="bottom"/>
          </w:tcPr>
          <w:p>
            <w:pPr>
              <w:ind w:left="360"/>
              <w:spacing w:after="0"/>
              <w:rPr>
                <w:sz w:val="20"/>
                <w:szCs w:val="20"/>
                <w:color w:val="auto"/>
              </w:rPr>
            </w:pPr>
            <w:r>
              <w:rPr>
                <w:rFonts w:ascii="Arial" w:cs="Arial" w:eastAsia="Arial" w:hAnsi="Arial"/>
                <w:sz w:val="18"/>
                <w:szCs w:val="18"/>
                <w:color w:val="auto"/>
              </w:rPr>
              <w:t>Series A cumulative redeemable convertible preferred stock, par value $0.0001</w:t>
            </w:r>
          </w:p>
        </w:tc>
        <w:tc>
          <w:tcPr>
            <w:tcW w:w="2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223,185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223,185</w:t>
            </w:r>
          </w:p>
        </w:tc>
      </w:tr>
      <w:tr>
        <w:trPr>
          <w:trHeight w:val="23"/>
        </w:trPr>
        <w:tc>
          <w:tcPr>
            <w:tcW w:w="7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76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Stockholders’ deficit</w:t>
            </w:r>
          </w:p>
        </w:tc>
        <w:tc>
          <w:tcPr>
            <w:tcW w:w="26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r>
      <w:tr>
        <w:trPr>
          <w:trHeight w:val="247"/>
        </w:trPr>
        <w:tc>
          <w:tcPr>
            <w:tcW w:w="7680" w:type="dxa"/>
            <w:vAlign w:val="bottom"/>
          </w:tcPr>
          <w:p>
            <w:pPr>
              <w:ind w:left="360"/>
              <w:spacing w:after="0"/>
              <w:rPr>
                <w:sz w:val="20"/>
                <w:szCs w:val="20"/>
                <w:color w:val="auto"/>
              </w:rPr>
            </w:pPr>
            <w:r>
              <w:rPr>
                <w:rFonts w:ascii="Arial" w:cs="Arial" w:eastAsia="Arial" w:hAnsi="Arial"/>
                <w:sz w:val="18"/>
                <w:szCs w:val="18"/>
                <w:color w:val="auto"/>
              </w:rPr>
              <w:t>Common stock, $0.0001 par value</w:t>
            </w:r>
          </w:p>
        </w:tc>
        <w:tc>
          <w:tcPr>
            <w:tcW w:w="2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3"/>
        </w:trPr>
        <w:tc>
          <w:tcPr>
            <w:tcW w:w="7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6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Additional paid-in capital</w:t>
            </w:r>
          </w:p>
        </w:tc>
        <w:tc>
          <w:tcPr>
            <w:tcW w:w="2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581,245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570,578</w:t>
            </w:r>
          </w:p>
        </w:tc>
      </w:tr>
      <w:tr>
        <w:trPr>
          <w:trHeight w:val="247"/>
        </w:trPr>
        <w:tc>
          <w:tcPr>
            <w:tcW w:w="7680" w:type="dxa"/>
            <w:vAlign w:val="bottom"/>
          </w:tcPr>
          <w:p>
            <w:pPr>
              <w:ind w:left="380"/>
              <w:spacing w:after="0"/>
              <w:rPr>
                <w:sz w:val="20"/>
                <w:szCs w:val="20"/>
                <w:color w:val="auto"/>
              </w:rPr>
            </w:pPr>
            <w:r>
              <w:rPr>
                <w:rFonts w:ascii="Arial" w:cs="Arial" w:eastAsia="Arial" w:hAnsi="Arial"/>
                <w:sz w:val="18"/>
                <w:szCs w:val="18"/>
                <w:color w:val="auto"/>
              </w:rPr>
              <w:t>Accumulated other comprehensive income (loss)</w:t>
            </w:r>
          </w:p>
        </w:tc>
        <w:tc>
          <w:tcPr>
            <w:tcW w:w="2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3"/>
        </w:trPr>
        <w:tc>
          <w:tcPr>
            <w:tcW w:w="7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76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Accumulated deficit</w:t>
            </w:r>
          </w:p>
        </w:tc>
        <w:tc>
          <w:tcPr>
            <w:tcW w:w="26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(827,179)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(853,669)</w:t>
            </w:r>
          </w:p>
        </w:tc>
      </w:tr>
      <w:tr>
        <w:trPr>
          <w:trHeight w:val="240"/>
        </w:trPr>
        <w:tc>
          <w:tcPr>
            <w:tcW w:w="7680" w:type="dxa"/>
            <w:vAlign w:val="bottom"/>
          </w:tcPr>
          <w:p>
            <w:pPr>
              <w:ind w:left="20"/>
              <w:spacing w:after="0"/>
              <w:rPr>
                <w:sz w:val="20"/>
                <w:szCs w:val="20"/>
                <w:color w:val="auto"/>
              </w:rPr>
            </w:pPr>
            <w:r>
              <w:rPr>
                <w:rFonts w:ascii="Arial" w:cs="Arial" w:eastAsia="Arial" w:hAnsi="Arial"/>
                <w:sz w:val="18"/>
                <w:szCs w:val="18"/>
                <w:b w:val="1"/>
                <w:bCs w:val="1"/>
                <w:color w:val="auto"/>
              </w:rPr>
              <w:t>Total stockholders’ deficit</w:t>
            </w:r>
          </w:p>
        </w:tc>
        <w:tc>
          <w:tcPr>
            <w:tcW w:w="26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(245,918)</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(283,052)</w:t>
            </w:r>
          </w:p>
        </w:tc>
      </w:tr>
      <w:tr>
        <w:trPr>
          <w:trHeight w:val="23"/>
        </w:trPr>
        <w:tc>
          <w:tcPr>
            <w:tcW w:w="76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89"/>
        </w:trPr>
        <w:tc>
          <w:tcPr>
            <w:tcW w:w="7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liabilities, redeemable convertible preferred stock and stockholders’ deficit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130,820</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159,407</w:t>
            </w:r>
          </w:p>
        </w:tc>
      </w:tr>
      <w:tr>
        <w:trPr>
          <w:trHeight w:val="20"/>
        </w:trPr>
        <w:tc>
          <w:tcPr>
            <w:tcW w:w="76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r>
    </w:tbl>
    <w:p>
      <w:pPr>
        <w:sectPr>
          <w:pgSz w:w="11900" w:h="16838" w:orient="portrait"/>
          <w:cols w:equalWidth="0" w:num="1">
            <w:col w:w="11060"/>
          </w:cols>
          <w:pgMar w:left="320" w:top="1440" w:right="519" w:bottom="1440" w:gutter="0" w:footer="0" w:header="0"/>
        </w:sectPr>
      </w:pPr>
    </w:p>
    <w:bookmarkStart w:id="62" w:name="page63"/>
    <w:bookmarkEnd w:id="62"/>
    <w:p>
      <w:pPr>
        <w:spacing w:after="0" w:line="3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Kodiak AI, Inc.</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spacing w:after="0" w:line="225"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(In thousands, except per share amounts; unaudited)</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664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2960" w:type="dxa"/>
            <w:vAlign w:val="bottom"/>
            <w:tcBorders>
              <w:bottom w:val="single" w:sz="8" w:color="auto"/>
            </w:tcBorders>
            <w:gridSpan w:val="4"/>
          </w:tcPr>
          <w:p>
            <w:pPr>
              <w:jc w:val="right"/>
              <w:ind w:right="150"/>
              <w:spacing w:after="0"/>
              <w:rPr>
                <w:sz w:val="20"/>
                <w:szCs w:val="20"/>
                <w:color w:val="auto"/>
              </w:rPr>
            </w:pPr>
            <w:r>
              <w:rPr>
                <w:rFonts w:ascii="Arial" w:cs="Arial" w:eastAsia="Arial" w:hAnsi="Arial"/>
                <w:sz w:val="18"/>
                <w:szCs w:val="18"/>
                <w:b w:val="1"/>
                <w:bCs w:val="1"/>
                <w:color w:val="auto"/>
              </w:rPr>
              <w:t>Three Months Ended March 31,</w:t>
            </w:r>
          </w:p>
        </w:tc>
        <w:tc>
          <w:tcPr>
            <w:tcW w:w="0" w:type="dxa"/>
            <w:vAlign w:val="bottom"/>
          </w:tcPr>
          <w:p>
            <w:pPr>
              <w:spacing w:after="0"/>
              <w:rPr>
                <w:sz w:val="1"/>
                <w:szCs w:val="1"/>
                <w:color w:val="auto"/>
              </w:rPr>
            </w:pPr>
          </w:p>
        </w:tc>
      </w:tr>
      <w:tr>
        <w:trPr>
          <w:trHeight w:val="264"/>
        </w:trPr>
        <w:tc>
          <w:tcPr>
            <w:tcW w:w="664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2026</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2025</w:t>
            </w:r>
          </w:p>
        </w:tc>
        <w:tc>
          <w:tcPr>
            <w:tcW w:w="0" w:type="dxa"/>
            <w:vAlign w:val="bottom"/>
          </w:tcPr>
          <w:p>
            <w:pPr>
              <w:spacing w:after="0"/>
              <w:rPr>
                <w:sz w:val="1"/>
                <w:szCs w:val="1"/>
                <w:color w:val="auto"/>
              </w:rPr>
            </w:pPr>
          </w:p>
        </w:tc>
      </w:tr>
      <w:tr>
        <w:trPr>
          <w:trHeight w:val="270"/>
        </w:trPr>
        <w:tc>
          <w:tcPr>
            <w:tcW w:w="6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1,830</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1,471</w:t>
            </w:r>
          </w:p>
        </w:tc>
        <w:tc>
          <w:tcPr>
            <w:tcW w:w="0" w:type="dxa"/>
            <w:vAlign w:val="bottom"/>
          </w:tcPr>
          <w:p>
            <w:pPr>
              <w:spacing w:after="0"/>
              <w:rPr>
                <w:sz w:val="1"/>
                <w:szCs w:val="1"/>
                <w:color w:val="auto"/>
              </w:rPr>
            </w:pPr>
          </w:p>
        </w:tc>
      </w:tr>
      <w:tr>
        <w:trPr>
          <w:trHeight w:val="227"/>
        </w:trPr>
        <w:tc>
          <w:tcPr>
            <w:tcW w:w="6640" w:type="dxa"/>
            <w:vAlign w:val="bottom"/>
          </w:tcPr>
          <w:p>
            <w:pPr>
              <w:spacing w:after="0"/>
              <w:rPr>
                <w:sz w:val="20"/>
                <w:szCs w:val="20"/>
                <w:color w:val="auto"/>
              </w:rPr>
            </w:pPr>
            <w:r>
              <w:rPr>
                <w:rFonts w:ascii="Arial" w:cs="Arial" w:eastAsia="Arial" w:hAnsi="Arial"/>
                <w:sz w:val="18"/>
                <w:szCs w:val="18"/>
                <w:color w:val="auto"/>
              </w:rPr>
              <w:t>Operating expenses:</w:t>
            </w:r>
          </w:p>
        </w:tc>
        <w:tc>
          <w:tcPr>
            <w:tcW w:w="16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6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Research and development</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17,550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10,134</w:t>
            </w:r>
          </w:p>
        </w:tc>
        <w:tc>
          <w:tcPr>
            <w:tcW w:w="0" w:type="dxa"/>
            <w:vAlign w:val="bottom"/>
          </w:tcPr>
          <w:p>
            <w:pPr>
              <w:spacing w:after="0"/>
              <w:rPr>
                <w:sz w:val="1"/>
                <w:szCs w:val="1"/>
                <w:color w:val="auto"/>
              </w:rPr>
            </w:pPr>
          </w:p>
        </w:tc>
      </w:tr>
      <w:tr>
        <w:trPr>
          <w:trHeight w:val="247"/>
        </w:trPr>
        <w:tc>
          <w:tcPr>
            <w:tcW w:w="6640" w:type="dxa"/>
            <w:vAlign w:val="bottom"/>
          </w:tcPr>
          <w:p>
            <w:pPr>
              <w:ind w:left="360"/>
              <w:spacing w:after="0"/>
              <w:rPr>
                <w:sz w:val="20"/>
                <w:szCs w:val="20"/>
                <w:color w:val="auto"/>
              </w:rPr>
            </w:pPr>
            <w:r>
              <w:rPr>
                <w:rFonts w:ascii="Arial" w:cs="Arial" w:eastAsia="Arial" w:hAnsi="Arial"/>
                <w:sz w:val="18"/>
                <w:szCs w:val="18"/>
                <w:color w:val="auto"/>
              </w:rPr>
              <w:t>General and administrative</w:t>
            </w: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12,420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5,125</w:t>
            </w:r>
          </w:p>
        </w:tc>
        <w:tc>
          <w:tcPr>
            <w:tcW w:w="0" w:type="dxa"/>
            <w:vAlign w:val="bottom"/>
          </w:tcPr>
          <w:p>
            <w:pPr>
              <w:spacing w:after="0"/>
              <w:rPr>
                <w:sz w:val="1"/>
                <w:szCs w:val="1"/>
                <w:color w:val="auto"/>
              </w:rPr>
            </w:pPr>
          </w:p>
        </w:tc>
      </w:tr>
      <w:tr>
        <w:trPr>
          <w:trHeight w:val="23"/>
        </w:trPr>
        <w:tc>
          <w:tcPr>
            <w:tcW w:w="6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Truck and freight operations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8,305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4,005</w:t>
            </w:r>
          </w:p>
        </w:tc>
        <w:tc>
          <w:tcPr>
            <w:tcW w:w="0" w:type="dxa"/>
            <w:vAlign w:val="bottom"/>
          </w:tcPr>
          <w:p>
            <w:pPr>
              <w:spacing w:after="0"/>
              <w:rPr>
                <w:sz w:val="1"/>
                <w:szCs w:val="1"/>
                <w:color w:val="auto"/>
              </w:rPr>
            </w:pPr>
          </w:p>
        </w:tc>
      </w:tr>
      <w:tr>
        <w:trPr>
          <w:trHeight w:val="247"/>
        </w:trPr>
        <w:tc>
          <w:tcPr>
            <w:tcW w:w="6640" w:type="dxa"/>
            <w:vAlign w:val="bottom"/>
          </w:tcPr>
          <w:p>
            <w:pPr>
              <w:ind w:left="360"/>
              <w:spacing w:after="0"/>
              <w:rPr>
                <w:sz w:val="20"/>
                <w:szCs w:val="20"/>
                <w:color w:val="auto"/>
              </w:rPr>
            </w:pPr>
            <w:r>
              <w:rPr>
                <w:rFonts w:ascii="Arial" w:cs="Arial" w:eastAsia="Arial" w:hAnsi="Arial"/>
                <w:sz w:val="18"/>
                <w:szCs w:val="18"/>
                <w:color w:val="auto"/>
              </w:rPr>
              <w:t>Sales and marketing</w:t>
            </w: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1,406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806</w:t>
            </w:r>
          </w:p>
        </w:tc>
        <w:tc>
          <w:tcPr>
            <w:tcW w:w="0" w:type="dxa"/>
            <w:vAlign w:val="bottom"/>
          </w:tcPr>
          <w:p>
            <w:pPr>
              <w:spacing w:after="0"/>
              <w:rPr>
                <w:sz w:val="1"/>
                <w:szCs w:val="1"/>
                <w:color w:val="auto"/>
              </w:rPr>
            </w:pPr>
          </w:p>
        </w:tc>
      </w:tr>
      <w:tr>
        <w:trPr>
          <w:trHeight w:val="23"/>
        </w:trPr>
        <w:tc>
          <w:tcPr>
            <w:tcW w:w="66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6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39,681</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20,070</w:t>
            </w:r>
          </w:p>
        </w:tc>
        <w:tc>
          <w:tcPr>
            <w:tcW w:w="0" w:type="dxa"/>
            <w:vAlign w:val="bottom"/>
          </w:tcPr>
          <w:p>
            <w:pPr>
              <w:spacing w:after="0"/>
              <w:rPr>
                <w:sz w:val="1"/>
                <w:szCs w:val="1"/>
                <w:color w:val="auto"/>
              </w:rPr>
            </w:pPr>
          </w:p>
        </w:tc>
      </w:tr>
      <w:tr>
        <w:trPr>
          <w:trHeight w:val="241"/>
        </w:trPr>
        <w:tc>
          <w:tcPr>
            <w:tcW w:w="6640" w:type="dxa"/>
            <w:vAlign w:val="bottom"/>
          </w:tcPr>
          <w:p>
            <w:pPr>
              <w:spacing w:after="0"/>
              <w:rPr>
                <w:sz w:val="20"/>
                <w:szCs w:val="20"/>
                <w:color w:val="auto"/>
              </w:rPr>
            </w:pPr>
            <w:r>
              <w:rPr>
                <w:rFonts w:ascii="Arial" w:cs="Arial" w:eastAsia="Arial" w:hAnsi="Arial"/>
                <w:sz w:val="18"/>
                <w:szCs w:val="18"/>
                <w:b w:val="1"/>
                <w:bCs w:val="1"/>
                <w:color w:val="auto"/>
              </w:rPr>
              <w:t>Loss from operations</w:t>
            </w:r>
          </w:p>
        </w:tc>
        <w:tc>
          <w:tcPr>
            <w:tcW w:w="1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(37,851)</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(18,599)</w:t>
            </w:r>
          </w:p>
        </w:tc>
        <w:tc>
          <w:tcPr>
            <w:tcW w:w="0" w:type="dxa"/>
            <w:vAlign w:val="bottom"/>
          </w:tcPr>
          <w:p>
            <w:pPr>
              <w:spacing w:after="0"/>
              <w:rPr>
                <w:sz w:val="1"/>
                <w:szCs w:val="1"/>
                <w:color w:val="auto"/>
              </w:rPr>
            </w:pPr>
          </w:p>
        </w:tc>
      </w:tr>
      <w:tr>
        <w:trPr>
          <w:trHeight w:val="23"/>
        </w:trPr>
        <w:tc>
          <w:tcPr>
            <w:tcW w:w="6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income (expenses):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6640" w:type="dxa"/>
            <w:vAlign w:val="bottom"/>
          </w:tcPr>
          <w:p>
            <w:pPr>
              <w:ind w:left="360"/>
              <w:spacing w:after="0"/>
              <w:rPr>
                <w:sz w:val="20"/>
                <w:szCs w:val="20"/>
                <w:color w:val="auto"/>
              </w:rPr>
            </w:pPr>
            <w:r>
              <w:rPr>
                <w:rFonts w:ascii="Arial" w:cs="Arial" w:eastAsia="Arial" w:hAnsi="Arial"/>
                <w:sz w:val="18"/>
                <w:szCs w:val="18"/>
                <w:color w:val="auto"/>
              </w:rPr>
              <w:t>Interest expense</w:t>
            </w: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(896)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(1,264)</w:t>
            </w:r>
          </w:p>
        </w:tc>
        <w:tc>
          <w:tcPr>
            <w:tcW w:w="0" w:type="dxa"/>
            <w:vAlign w:val="bottom"/>
          </w:tcPr>
          <w:p>
            <w:pPr>
              <w:spacing w:after="0"/>
              <w:rPr>
                <w:sz w:val="1"/>
                <w:szCs w:val="1"/>
                <w:color w:val="auto"/>
              </w:rPr>
            </w:pPr>
          </w:p>
        </w:tc>
      </w:tr>
      <w:tr>
        <w:trPr>
          <w:trHeight w:val="23"/>
        </w:trPr>
        <w:tc>
          <w:tcPr>
            <w:tcW w:w="6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Interest income and other, net</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47"/>
        </w:trPr>
        <w:tc>
          <w:tcPr>
            <w:tcW w:w="6640" w:type="dxa"/>
            <w:vAlign w:val="bottom"/>
          </w:tcPr>
          <w:p>
            <w:pPr>
              <w:ind w:left="360"/>
              <w:spacing w:after="0"/>
              <w:rPr>
                <w:sz w:val="20"/>
                <w:szCs w:val="20"/>
                <w:color w:val="auto"/>
              </w:rPr>
            </w:pPr>
            <w:r>
              <w:rPr>
                <w:rFonts w:ascii="Arial" w:cs="Arial" w:eastAsia="Arial" w:hAnsi="Arial"/>
                <w:sz w:val="18"/>
                <w:szCs w:val="18"/>
                <w:color w:val="auto"/>
              </w:rPr>
              <w:t>Change in fair value of common stock warrants</w:t>
            </w: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64,658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
        </w:trPr>
        <w:tc>
          <w:tcPr>
            <w:tcW w:w="6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Change in fair value of second lien loans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7"/>
        </w:trPr>
        <w:tc>
          <w:tcPr>
            <w:tcW w:w="6640" w:type="dxa"/>
            <w:vAlign w:val="bottom"/>
          </w:tcPr>
          <w:p>
            <w:pPr>
              <w:ind w:left="360"/>
              <w:spacing w:after="0"/>
              <w:rPr>
                <w:sz w:val="20"/>
                <w:szCs w:val="20"/>
                <w:color w:val="auto"/>
              </w:rPr>
            </w:pPr>
            <w:r>
              <w:rPr>
                <w:rFonts w:ascii="Arial" w:cs="Arial" w:eastAsia="Arial" w:hAnsi="Arial"/>
                <w:sz w:val="18"/>
                <w:szCs w:val="18"/>
                <w:color w:val="auto"/>
              </w:rPr>
              <w:t>Change in fair value of simple agreements for future equity</w:t>
            </w:r>
          </w:p>
        </w:tc>
        <w:tc>
          <w:tcPr>
            <w:tcW w:w="160" w:type="dxa"/>
            <w:vAlign w:val="bottom"/>
          </w:tcPr>
          <w:p>
            <w:pPr>
              <w:spacing w:after="0"/>
              <w:rPr>
                <w:sz w:val="21"/>
                <w:szCs w:val="21"/>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(108,375)</w:t>
            </w:r>
          </w:p>
        </w:tc>
        <w:tc>
          <w:tcPr>
            <w:tcW w:w="0" w:type="dxa"/>
            <w:vAlign w:val="bottom"/>
          </w:tcPr>
          <w:p>
            <w:pPr>
              <w:spacing w:after="0"/>
              <w:rPr>
                <w:sz w:val="1"/>
                <w:szCs w:val="1"/>
                <w:color w:val="auto"/>
              </w:rPr>
            </w:pPr>
          </w:p>
        </w:tc>
      </w:tr>
      <w:tr>
        <w:trPr>
          <w:trHeight w:val="23"/>
        </w:trPr>
        <w:tc>
          <w:tcPr>
            <w:tcW w:w="6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4"/>
        </w:trPr>
        <w:tc>
          <w:tcPr>
            <w:tcW w:w="6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 in fair value of redeemable convertible preferred stock warrant</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2"/>
        </w:trPr>
        <w:tc>
          <w:tcPr>
            <w:tcW w:w="66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liabilities</w:t>
            </w:r>
          </w:p>
        </w:tc>
        <w:tc>
          <w:tcPr>
            <w:tcW w:w="16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40"/>
        </w:trPr>
        <w:tc>
          <w:tcPr>
            <w:tcW w:w="6640" w:type="dxa"/>
            <w:vAlign w:val="bottom"/>
          </w:tcPr>
          <w:p>
            <w:pPr>
              <w:spacing w:after="0"/>
              <w:rPr>
                <w:sz w:val="20"/>
                <w:szCs w:val="20"/>
                <w:color w:val="auto"/>
              </w:rPr>
            </w:pPr>
            <w:r>
              <w:rPr>
                <w:rFonts w:ascii="Arial" w:cs="Arial" w:eastAsia="Arial" w:hAnsi="Arial"/>
                <w:sz w:val="18"/>
                <w:szCs w:val="18"/>
                <w:color w:val="auto"/>
              </w:rPr>
              <w:t>Total other income (expenses), net</w:t>
            </w:r>
          </w:p>
        </w:tc>
        <w:tc>
          <w:tcPr>
            <w:tcW w:w="1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64,337</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(109,585)</w:t>
            </w:r>
          </w:p>
        </w:tc>
        <w:tc>
          <w:tcPr>
            <w:tcW w:w="0" w:type="dxa"/>
            <w:vAlign w:val="bottom"/>
          </w:tcPr>
          <w:p>
            <w:pPr>
              <w:spacing w:after="0"/>
              <w:rPr>
                <w:sz w:val="1"/>
                <w:szCs w:val="1"/>
                <w:color w:val="auto"/>
              </w:rPr>
            </w:pPr>
          </w:p>
        </w:tc>
      </w:tr>
      <w:tr>
        <w:trPr>
          <w:trHeight w:val="23"/>
        </w:trPr>
        <w:tc>
          <w:tcPr>
            <w:tcW w:w="66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6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(loss) before income taxes</w:t>
            </w:r>
          </w:p>
        </w:tc>
        <w:tc>
          <w:tcPr>
            <w:tcW w:w="16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26,486</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(128,184)</w:t>
            </w:r>
          </w:p>
        </w:tc>
        <w:tc>
          <w:tcPr>
            <w:tcW w:w="0" w:type="dxa"/>
            <w:vAlign w:val="bottom"/>
          </w:tcPr>
          <w:p>
            <w:pPr>
              <w:spacing w:after="0"/>
              <w:rPr>
                <w:sz w:val="1"/>
                <w:szCs w:val="1"/>
                <w:color w:val="auto"/>
              </w:rPr>
            </w:pPr>
          </w:p>
        </w:tc>
      </w:tr>
      <w:tr>
        <w:trPr>
          <w:trHeight w:val="240"/>
        </w:trPr>
        <w:tc>
          <w:tcPr>
            <w:tcW w:w="6640" w:type="dxa"/>
            <w:vAlign w:val="bottom"/>
          </w:tcPr>
          <w:p>
            <w:pPr>
              <w:spacing w:after="0"/>
              <w:rPr>
                <w:sz w:val="20"/>
                <w:szCs w:val="20"/>
                <w:color w:val="auto"/>
              </w:rPr>
            </w:pPr>
            <w:r>
              <w:rPr>
                <w:rFonts w:ascii="Arial" w:cs="Arial" w:eastAsia="Arial" w:hAnsi="Arial"/>
                <w:sz w:val="18"/>
                <w:szCs w:val="18"/>
                <w:color w:val="auto"/>
              </w:rPr>
              <w:t>Income tax benefit (expense)</w:t>
            </w:r>
          </w:p>
        </w:tc>
        <w:tc>
          <w:tcPr>
            <w:tcW w:w="1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
        </w:trPr>
        <w:tc>
          <w:tcPr>
            <w:tcW w:w="66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6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income (loss)</w:t>
            </w:r>
          </w:p>
        </w:tc>
        <w:tc>
          <w:tcPr>
            <w:tcW w:w="160" w:type="dxa"/>
            <w:vAlign w:val="bottom"/>
            <w:tcBorders>
              <w:bottom w:val="single" w:sz="8" w:color="CCEEFF"/>
            </w:tcBorders>
            <w:shd w:val="clear" w:color="auto" w:fill="CCEEFF"/>
          </w:tcPr>
          <w:p>
            <w:pPr>
              <w:spacing w:after="0"/>
              <w:rPr>
                <w:sz w:val="24"/>
                <w:szCs w:val="24"/>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26,490</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(128,185)</w:t>
            </w:r>
          </w:p>
        </w:tc>
        <w:tc>
          <w:tcPr>
            <w:tcW w:w="0" w:type="dxa"/>
            <w:vAlign w:val="bottom"/>
          </w:tcPr>
          <w:p>
            <w:pPr>
              <w:spacing w:after="0"/>
              <w:rPr>
                <w:sz w:val="1"/>
                <w:szCs w:val="1"/>
                <w:color w:val="auto"/>
              </w:rPr>
            </w:pPr>
          </w:p>
        </w:tc>
      </w:tr>
      <w:tr>
        <w:trPr>
          <w:trHeight w:val="20"/>
        </w:trPr>
        <w:tc>
          <w:tcPr>
            <w:tcW w:w="66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Unrealized losses on marketable securities, net of tax</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664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
        </w:trPr>
        <w:tc>
          <w:tcPr>
            <w:tcW w:w="66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6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Comprehensive income (loss)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26,466</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(128,185)</w:t>
            </w:r>
          </w:p>
        </w:tc>
        <w:tc>
          <w:tcPr>
            <w:tcW w:w="0" w:type="dxa"/>
            <w:vAlign w:val="bottom"/>
          </w:tcPr>
          <w:p>
            <w:pPr>
              <w:spacing w:after="0"/>
              <w:rPr>
                <w:sz w:val="1"/>
                <w:szCs w:val="1"/>
                <w:color w:val="auto"/>
              </w:rPr>
            </w:pP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5"/>
        </w:trPr>
        <w:tc>
          <w:tcPr>
            <w:tcW w:w="6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(loss) per common share, basic</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0"/>
        </w:trPr>
        <w:tc>
          <w:tcPr>
            <w:tcW w:w="66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Net income (loss) per common share, diluted</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6640" w:type="dxa"/>
            <w:vAlign w:val="bottom"/>
            <w:vMerge w:val="continue"/>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0.10</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3"/>
        </w:trPr>
        <w:tc>
          <w:tcPr>
            <w:tcW w:w="66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6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6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Weighted-average common shares outstanding, basic</w:t>
            </w:r>
          </w:p>
        </w:tc>
        <w:tc>
          <w:tcPr>
            <w:tcW w:w="160" w:type="dxa"/>
            <w:vAlign w:val="bottom"/>
            <w:tcBorders>
              <w:bottom w:val="single" w:sz="8" w:color="CCEEFF"/>
            </w:tcBorders>
            <w:shd w:val="clear" w:color="auto" w:fill="CCEEFF"/>
          </w:tcPr>
          <w:p>
            <w:pPr>
              <w:spacing w:after="0"/>
              <w:rPr>
                <w:sz w:val="24"/>
                <w:szCs w:val="24"/>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176,349</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59,256</w:t>
            </w:r>
          </w:p>
        </w:tc>
        <w:tc>
          <w:tcPr>
            <w:tcW w:w="0" w:type="dxa"/>
            <w:vAlign w:val="bottom"/>
          </w:tcPr>
          <w:p>
            <w:pPr>
              <w:spacing w:after="0"/>
              <w:rPr>
                <w:sz w:val="1"/>
                <w:szCs w:val="1"/>
                <w:color w:val="auto"/>
              </w:rPr>
            </w:pPr>
          </w:p>
        </w:tc>
      </w:tr>
      <w:tr>
        <w:trPr>
          <w:trHeight w:val="20"/>
        </w:trPr>
        <w:tc>
          <w:tcPr>
            <w:tcW w:w="66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Weighted-average common shares outstanding, diluted</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664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216,167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59,256</w:t>
            </w:r>
          </w:p>
        </w:tc>
        <w:tc>
          <w:tcPr>
            <w:tcW w:w="0" w:type="dxa"/>
            <w:vAlign w:val="bottom"/>
          </w:tcPr>
          <w:p>
            <w:pPr>
              <w:spacing w:after="0"/>
              <w:rPr>
                <w:sz w:val="1"/>
                <w:szCs w:val="1"/>
                <w:color w:val="auto"/>
              </w:rPr>
            </w:pPr>
          </w:p>
        </w:tc>
      </w:tr>
      <w:tr>
        <w:trPr>
          <w:trHeight w:val="23"/>
        </w:trPr>
        <w:tc>
          <w:tcPr>
            <w:tcW w:w="66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9760"/>
          </w:cols>
          <w:pgMar w:left="1080" w:top="1440" w:right="1059" w:bottom="1440" w:gutter="0" w:footer="0" w:header="0"/>
        </w:sectPr>
      </w:pPr>
    </w:p>
    <w:bookmarkStart w:id="63" w:name="page64"/>
    <w:bookmarkEnd w:id="63"/>
    <w:p>
      <w:pPr>
        <w:jc w:val="center"/>
        <w:spacing w:after="0"/>
        <w:rPr>
          <w:sz w:val="20"/>
          <w:szCs w:val="20"/>
          <w:color w:val="auto"/>
        </w:rPr>
      </w:pPr>
      <w:r>
        <w:rPr>
          <w:rFonts w:ascii="Arial" w:cs="Arial" w:eastAsia="Arial" w:hAnsi="Arial"/>
          <w:sz w:val="18"/>
          <w:szCs w:val="18"/>
          <w:b w:val="1"/>
          <w:bCs w:val="1"/>
          <w:color w:val="auto"/>
        </w:rPr>
        <w:t>Kodiak AI,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17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 unaudited)</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86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500" w:type="dxa"/>
            <w:vAlign w:val="bottom"/>
            <w:tcBorders>
              <w:bottom w:val="single" w:sz="8" w:color="auto"/>
            </w:tcBorders>
            <w:gridSpan w:val="4"/>
          </w:tcPr>
          <w:p>
            <w:pPr>
              <w:jc w:val="right"/>
              <w:ind w:right="39"/>
              <w:spacing w:after="0"/>
              <w:rPr>
                <w:sz w:val="20"/>
                <w:szCs w:val="20"/>
                <w:color w:val="auto"/>
              </w:rPr>
            </w:pPr>
            <w:r>
              <w:rPr>
                <w:rFonts w:ascii="Arial" w:cs="Arial" w:eastAsia="Arial" w:hAnsi="Arial"/>
                <w:sz w:val="16"/>
                <w:szCs w:val="16"/>
                <w:b w:val="1"/>
                <w:bCs w:val="1"/>
                <w:color w:val="auto"/>
                <w:w w:val="99"/>
              </w:rPr>
              <w:t>Three Months Ended March 31,</w:t>
            </w:r>
          </w:p>
        </w:tc>
        <w:tc>
          <w:tcPr>
            <w:tcW w:w="0" w:type="dxa"/>
            <w:vAlign w:val="bottom"/>
          </w:tcPr>
          <w:p>
            <w:pPr>
              <w:spacing w:after="0"/>
              <w:rPr>
                <w:sz w:val="1"/>
                <w:szCs w:val="1"/>
                <w:color w:val="auto"/>
              </w:rPr>
            </w:pPr>
          </w:p>
        </w:tc>
      </w:tr>
      <w:tr>
        <w:trPr>
          <w:trHeight w:val="237"/>
        </w:trPr>
        <w:tc>
          <w:tcPr>
            <w:tcW w:w="86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2026</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2025</w:t>
            </w:r>
          </w:p>
        </w:tc>
        <w:tc>
          <w:tcPr>
            <w:tcW w:w="0" w:type="dxa"/>
            <w:vAlign w:val="bottom"/>
          </w:tcPr>
          <w:p>
            <w:pPr>
              <w:spacing w:after="0"/>
              <w:rPr>
                <w:sz w:val="1"/>
                <w:szCs w:val="1"/>
                <w:color w:val="auto"/>
              </w:rPr>
            </w:pPr>
          </w:p>
        </w:tc>
      </w:tr>
      <w:tr>
        <w:trPr>
          <w:trHeight w:val="227"/>
        </w:trPr>
        <w:tc>
          <w:tcPr>
            <w:tcW w:w="86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Operating activities:</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8620" w:type="dxa"/>
            <w:vAlign w:val="bottom"/>
          </w:tcPr>
          <w:p>
            <w:pPr>
              <w:ind w:left="20"/>
              <w:spacing w:after="0"/>
              <w:rPr>
                <w:sz w:val="20"/>
                <w:szCs w:val="20"/>
                <w:color w:val="auto"/>
              </w:rPr>
            </w:pPr>
            <w:r>
              <w:rPr>
                <w:rFonts w:ascii="Arial" w:cs="Arial" w:eastAsia="Arial" w:hAnsi="Arial"/>
                <w:sz w:val="16"/>
                <w:szCs w:val="16"/>
                <w:color w:val="auto"/>
              </w:rPr>
              <w:t>Net income (loss)</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26,490</w:t>
            </w:r>
          </w:p>
        </w:tc>
        <w:tc>
          <w:tcPr>
            <w:tcW w:w="100" w:type="dxa"/>
            <w:vAlign w:val="bottom"/>
          </w:tcPr>
          <w:p>
            <w:pPr>
              <w:spacing w:after="0"/>
              <w:rPr>
                <w:sz w:val="20"/>
                <w:szCs w:val="20"/>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(128,185)</w:t>
            </w:r>
          </w:p>
        </w:tc>
        <w:tc>
          <w:tcPr>
            <w:tcW w:w="0" w:type="dxa"/>
            <w:vAlign w:val="bottom"/>
          </w:tcPr>
          <w:p>
            <w:pPr>
              <w:spacing w:after="0"/>
              <w:rPr>
                <w:sz w:val="1"/>
                <w:szCs w:val="1"/>
                <w:color w:val="auto"/>
              </w:rPr>
            </w:pPr>
          </w:p>
        </w:tc>
      </w:tr>
      <w:tr>
        <w:trPr>
          <w:trHeight w:val="251"/>
        </w:trPr>
        <w:tc>
          <w:tcPr>
            <w:tcW w:w="8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Adjustments to reconcile net income (loss) to net cash used in operating activities:</w:t>
            </w:r>
          </w:p>
        </w:tc>
        <w:tc>
          <w:tcPr>
            <w:tcW w:w="1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8620" w:type="dxa"/>
            <w:vAlign w:val="bottom"/>
          </w:tcPr>
          <w:p>
            <w:pPr>
              <w:ind w:left="380"/>
              <w:spacing w:after="0"/>
              <w:rPr>
                <w:sz w:val="20"/>
                <w:szCs w:val="20"/>
                <w:color w:val="auto"/>
              </w:rPr>
            </w:pPr>
            <w:r>
              <w:rPr>
                <w:rFonts w:ascii="Arial" w:cs="Arial" w:eastAsia="Arial" w:hAnsi="Arial"/>
                <w:sz w:val="16"/>
                <w:szCs w:val="16"/>
                <w:color w:val="auto"/>
              </w:rPr>
              <w:t>Depreciation and amortization</w:t>
            </w:r>
          </w:p>
        </w:tc>
        <w:tc>
          <w:tcPr>
            <w:tcW w:w="1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1,412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532</w:t>
            </w:r>
          </w:p>
        </w:tc>
        <w:tc>
          <w:tcPr>
            <w:tcW w:w="0" w:type="dxa"/>
            <w:vAlign w:val="bottom"/>
          </w:tcPr>
          <w:p>
            <w:pPr>
              <w:spacing w:after="0"/>
              <w:rPr>
                <w:sz w:val="1"/>
                <w:szCs w:val="1"/>
                <w:color w:val="auto"/>
              </w:rPr>
            </w:pPr>
          </w:p>
        </w:tc>
      </w:tr>
      <w:tr>
        <w:trPr>
          <w:trHeight w:val="251"/>
        </w:trPr>
        <w:tc>
          <w:tcPr>
            <w:tcW w:w="86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Stock-based compensation</w:t>
            </w:r>
          </w:p>
        </w:tc>
        <w:tc>
          <w:tcPr>
            <w:tcW w:w="1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6,024</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1,878</w:t>
            </w:r>
          </w:p>
        </w:tc>
        <w:tc>
          <w:tcPr>
            <w:tcW w:w="0" w:type="dxa"/>
            <w:vAlign w:val="bottom"/>
          </w:tcPr>
          <w:p>
            <w:pPr>
              <w:spacing w:after="0"/>
              <w:rPr>
                <w:sz w:val="1"/>
                <w:szCs w:val="1"/>
                <w:color w:val="auto"/>
              </w:rPr>
            </w:pPr>
          </w:p>
        </w:tc>
      </w:tr>
      <w:tr>
        <w:trPr>
          <w:trHeight w:val="235"/>
        </w:trPr>
        <w:tc>
          <w:tcPr>
            <w:tcW w:w="8620" w:type="dxa"/>
            <w:vAlign w:val="bottom"/>
          </w:tcPr>
          <w:p>
            <w:pPr>
              <w:ind w:left="380"/>
              <w:spacing w:after="0"/>
              <w:rPr>
                <w:sz w:val="20"/>
                <w:szCs w:val="20"/>
                <w:color w:val="auto"/>
              </w:rPr>
            </w:pPr>
            <w:r>
              <w:rPr>
                <w:rFonts w:ascii="Arial" w:cs="Arial" w:eastAsia="Arial" w:hAnsi="Arial"/>
                <w:sz w:val="16"/>
                <w:szCs w:val="16"/>
                <w:color w:val="auto"/>
              </w:rPr>
              <w:t>Non-cash lease expense</w:t>
            </w:r>
          </w:p>
        </w:tc>
        <w:tc>
          <w:tcPr>
            <w:tcW w:w="1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499</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447</w:t>
            </w:r>
          </w:p>
        </w:tc>
        <w:tc>
          <w:tcPr>
            <w:tcW w:w="0" w:type="dxa"/>
            <w:vAlign w:val="bottom"/>
          </w:tcPr>
          <w:p>
            <w:pPr>
              <w:spacing w:after="0"/>
              <w:rPr>
                <w:sz w:val="1"/>
                <w:szCs w:val="1"/>
                <w:color w:val="auto"/>
              </w:rPr>
            </w:pPr>
          </w:p>
        </w:tc>
      </w:tr>
      <w:tr>
        <w:trPr>
          <w:trHeight w:val="251"/>
        </w:trPr>
        <w:tc>
          <w:tcPr>
            <w:tcW w:w="86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Accretion of discount on marketable securities</w:t>
            </w:r>
          </w:p>
        </w:tc>
        <w:tc>
          <w:tcPr>
            <w:tcW w:w="1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(358)</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5"/>
        </w:trPr>
        <w:tc>
          <w:tcPr>
            <w:tcW w:w="8620" w:type="dxa"/>
            <w:vAlign w:val="bottom"/>
          </w:tcPr>
          <w:p>
            <w:pPr>
              <w:ind w:left="380"/>
              <w:spacing w:after="0"/>
              <w:rPr>
                <w:sz w:val="20"/>
                <w:szCs w:val="20"/>
                <w:color w:val="auto"/>
              </w:rPr>
            </w:pPr>
            <w:r>
              <w:rPr>
                <w:rFonts w:ascii="Arial" w:cs="Arial" w:eastAsia="Arial" w:hAnsi="Arial"/>
                <w:sz w:val="16"/>
                <w:szCs w:val="16"/>
                <w:color w:val="auto"/>
              </w:rPr>
              <w:t>Change in fair value of second lien loans</w:t>
            </w:r>
          </w:p>
        </w:tc>
        <w:tc>
          <w:tcPr>
            <w:tcW w:w="1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474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1"/>
        </w:trPr>
        <w:tc>
          <w:tcPr>
            <w:tcW w:w="86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Change in fair value of simple agreements for future equity</w:t>
            </w:r>
          </w:p>
        </w:tc>
        <w:tc>
          <w:tcPr>
            <w:tcW w:w="12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108,375</w:t>
            </w:r>
          </w:p>
        </w:tc>
        <w:tc>
          <w:tcPr>
            <w:tcW w:w="0" w:type="dxa"/>
            <w:vAlign w:val="bottom"/>
          </w:tcPr>
          <w:p>
            <w:pPr>
              <w:spacing w:after="0"/>
              <w:rPr>
                <w:sz w:val="1"/>
                <w:szCs w:val="1"/>
                <w:color w:val="auto"/>
              </w:rPr>
            </w:pPr>
          </w:p>
        </w:tc>
      </w:tr>
      <w:tr>
        <w:trPr>
          <w:trHeight w:val="235"/>
        </w:trPr>
        <w:tc>
          <w:tcPr>
            <w:tcW w:w="8620" w:type="dxa"/>
            <w:vAlign w:val="bottom"/>
          </w:tcPr>
          <w:p>
            <w:pPr>
              <w:ind w:left="380"/>
              <w:spacing w:after="0"/>
              <w:rPr>
                <w:sz w:val="20"/>
                <w:szCs w:val="20"/>
                <w:color w:val="auto"/>
              </w:rPr>
            </w:pPr>
            <w:r>
              <w:rPr>
                <w:rFonts w:ascii="Arial" w:cs="Arial" w:eastAsia="Arial" w:hAnsi="Arial"/>
                <w:sz w:val="16"/>
                <w:szCs w:val="16"/>
                <w:color w:val="auto"/>
              </w:rPr>
              <w:t>Change in fair value of redeemable convertible preferred stock warrant liabilities</w:t>
            </w:r>
          </w:p>
        </w:tc>
        <w:tc>
          <w:tcPr>
            <w:tcW w:w="120" w:type="dxa"/>
            <w:vAlign w:val="bottom"/>
          </w:tcPr>
          <w:p>
            <w:pPr>
              <w:spacing w:after="0"/>
              <w:rPr>
                <w:sz w:val="20"/>
                <w:szCs w:val="20"/>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115</w:t>
            </w:r>
          </w:p>
        </w:tc>
        <w:tc>
          <w:tcPr>
            <w:tcW w:w="0" w:type="dxa"/>
            <w:vAlign w:val="bottom"/>
          </w:tcPr>
          <w:p>
            <w:pPr>
              <w:spacing w:after="0"/>
              <w:rPr>
                <w:sz w:val="1"/>
                <w:szCs w:val="1"/>
                <w:color w:val="auto"/>
              </w:rPr>
            </w:pPr>
          </w:p>
        </w:tc>
      </w:tr>
      <w:tr>
        <w:trPr>
          <w:trHeight w:val="251"/>
        </w:trPr>
        <w:tc>
          <w:tcPr>
            <w:tcW w:w="86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Change in fair value of common stock warrants</w:t>
            </w:r>
          </w:p>
        </w:tc>
        <w:tc>
          <w:tcPr>
            <w:tcW w:w="1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(64,658)</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5"/>
        </w:trPr>
        <w:tc>
          <w:tcPr>
            <w:tcW w:w="8620" w:type="dxa"/>
            <w:vAlign w:val="bottom"/>
          </w:tcPr>
          <w:p>
            <w:pPr>
              <w:ind w:left="380"/>
              <w:spacing w:after="0"/>
              <w:rPr>
                <w:sz w:val="20"/>
                <w:szCs w:val="20"/>
                <w:color w:val="auto"/>
              </w:rPr>
            </w:pPr>
            <w:r>
              <w:rPr>
                <w:rFonts w:ascii="Arial" w:cs="Arial" w:eastAsia="Arial" w:hAnsi="Arial"/>
                <w:sz w:val="16"/>
                <w:szCs w:val="16"/>
                <w:color w:val="auto"/>
              </w:rPr>
              <w:t>Non-cash interest expense</w:t>
            </w:r>
          </w:p>
        </w:tc>
        <w:tc>
          <w:tcPr>
            <w:tcW w:w="1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109</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228</w:t>
            </w:r>
          </w:p>
        </w:tc>
        <w:tc>
          <w:tcPr>
            <w:tcW w:w="0" w:type="dxa"/>
            <w:vAlign w:val="bottom"/>
          </w:tcPr>
          <w:p>
            <w:pPr>
              <w:spacing w:after="0"/>
              <w:rPr>
                <w:sz w:val="1"/>
                <w:szCs w:val="1"/>
                <w:color w:val="auto"/>
              </w:rPr>
            </w:pPr>
          </w:p>
        </w:tc>
      </w:tr>
      <w:tr>
        <w:trPr>
          <w:trHeight w:val="251"/>
        </w:trPr>
        <w:tc>
          <w:tcPr>
            <w:tcW w:w="86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Loss on disposal of property and equipment</w:t>
            </w:r>
          </w:p>
        </w:tc>
        <w:tc>
          <w:tcPr>
            <w:tcW w:w="1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w:t>
            </w:r>
          </w:p>
        </w:tc>
        <w:tc>
          <w:tcPr>
            <w:tcW w:w="0" w:type="dxa"/>
            <w:vAlign w:val="bottom"/>
          </w:tcPr>
          <w:p>
            <w:pPr>
              <w:spacing w:after="0"/>
              <w:rPr>
                <w:sz w:val="1"/>
                <w:szCs w:val="1"/>
                <w:color w:val="auto"/>
              </w:rPr>
            </w:pPr>
          </w:p>
        </w:tc>
      </w:tr>
      <w:tr>
        <w:trPr>
          <w:trHeight w:val="235"/>
        </w:trPr>
        <w:tc>
          <w:tcPr>
            <w:tcW w:w="8620" w:type="dxa"/>
            <w:vAlign w:val="bottom"/>
          </w:tcPr>
          <w:p>
            <w:pPr>
              <w:ind w:left="380"/>
              <w:spacing w:after="0"/>
              <w:rPr>
                <w:sz w:val="20"/>
                <w:szCs w:val="20"/>
                <w:color w:val="auto"/>
              </w:rPr>
            </w:pPr>
            <w:r>
              <w:rPr>
                <w:rFonts w:ascii="Arial" w:cs="Arial" w:eastAsia="Arial" w:hAnsi="Arial"/>
                <w:sz w:val="16"/>
                <w:szCs w:val="16"/>
                <w:color w:val="auto"/>
              </w:rPr>
              <w:t>Changes in operating assets and liabilities:</w:t>
            </w: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8620" w:type="dxa"/>
            <w:vAlign w:val="bottom"/>
            <w:shd w:val="clear" w:color="auto" w:fill="CCEEFF"/>
          </w:tcPr>
          <w:p>
            <w:pPr>
              <w:ind w:left="720"/>
              <w:spacing w:after="0"/>
              <w:rPr>
                <w:sz w:val="20"/>
                <w:szCs w:val="20"/>
                <w:color w:val="auto"/>
              </w:rPr>
            </w:pPr>
            <w:r>
              <w:rPr>
                <w:rFonts w:ascii="Arial" w:cs="Arial" w:eastAsia="Arial" w:hAnsi="Arial"/>
                <w:sz w:val="16"/>
                <w:szCs w:val="16"/>
                <w:color w:val="auto"/>
              </w:rPr>
              <w:t>Accounts receivable</w:t>
            </w:r>
          </w:p>
        </w:tc>
        <w:tc>
          <w:tcPr>
            <w:tcW w:w="1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379</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1,057</w:t>
            </w:r>
          </w:p>
        </w:tc>
        <w:tc>
          <w:tcPr>
            <w:tcW w:w="0" w:type="dxa"/>
            <w:vAlign w:val="bottom"/>
          </w:tcPr>
          <w:p>
            <w:pPr>
              <w:spacing w:after="0"/>
              <w:rPr>
                <w:sz w:val="1"/>
                <w:szCs w:val="1"/>
                <w:color w:val="auto"/>
              </w:rPr>
            </w:pPr>
          </w:p>
        </w:tc>
      </w:tr>
      <w:tr>
        <w:trPr>
          <w:trHeight w:val="235"/>
        </w:trPr>
        <w:tc>
          <w:tcPr>
            <w:tcW w:w="8620" w:type="dxa"/>
            <w:vAlign w:val="bottom"/>
          </w:tcPr>
          <w:p>
            <w:pPr>
              <w:ind w:left="720"/>
              <w:spacing w:after="0"/>
              <w:rPr>
                <w:sz w:val="20"/>
                <w:szCs w:val="20"/>
                <w:color w:val="auto"/>
              </w:rPr>
            </w:pPr>
            <w:r>
              <w:rPr>
                <w:rFonts w:ascii="Arial" w:cs="Arial" w:eastAsia="Arial" w:hAnsi="Arial"/>
                <w:sz w:val="16"/>
                <w:szCs w:val="16"/>
                <w:color w:val="auto"/>
              </w:rPr>
              <w:t>Prepaid expenses and other current assets</w:t>
            </w:r>
          </w:p>
        </w:tc>
        <w:tc>
          <w:tcPr>
            <w:tcW w:w="1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575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133</w:t>
            </w:r>
          </w:p>
        </w:tc>
        <w:tc>
          <w:tcPr>
            <w:tcW w:w="0" w:type="dxa"/>
            <w:vAlign w:val="bottom"/>
          </w:tcPr>
          <w:p>
            <w:pPr>
              <w:spacing w:after="0"/>
              <w:rPr>
                <w:sz w:val="1"/>
                <w:szCs w:val="1"/>
                <w:color w:val="auto"/>
              </w:rPr>
            </w:pPr>
          </w:p>
        </w:tc>
      </w:tr>
      <w:tr>
        <w:trPr>
          <w:trHeight w:val="251"/>
        </w:trPr>
        <w:tc>
          <w:tcPr>
            <w:tcW w:w="8620" w:type="dxa"/>
            <w:vAlign w:val="bottom"/>
            <w:shd w:val="clear" w:color="auto" w:fill="CCEEFF"/>
          </w:tcPr>
          <w:p>
            <w:pPr>
              <w:ind w:left="720"/>
              <w:spacing w:after="0"/>
              <w:rPr>
                <w:sz w:val="20"/>
                <w:szCs w:val="20"/>
                <w:color w:val="auto"/>
              </w:rPr>
            </w:pPr>
            <w:r>
              <w:rPr>
                <w:rFonts w:ascii="Arial" w:cs="Arial" w:eastAsia="Arial" w:hAnsi="Arial"/>
                <w:sz w:val="16"/>
                <w:szCs w:val="16"/>
                <w:color w:val="auto"/>
              </w:rPr>
              <w:t>Other assets</w:t>
            </w:r>
          </w:p>
        </w:tc>
        <w:tc>
          <w:tcPr>
            <w:tcW w:w="1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5"/>
        </w:trPr>
        <w:tc>
          <w:tcPr>
            <w:tcW w:w="8620" w:type="dxa"/>
            <w:vAlign w:val="bottom"/>
          </w:tcPr>
          <w:p>
            <w:pPr>
              <w:ind w:left="720"/>
              <w:spacing w:after="0"/>
              <w:rPr>
                <w:sz w:val="20"/>
                <w:szCs w:val="20"/>
                <w:color w:val="auto"/>
              </w:rPr>
            </w:pPr>
            <w:r>
              <w:rPr>
                <w:rFonts w:ascii="Arial" w:cs="Arial" w:eastAsia="Arial" w:hAnsi="Arial"/>
                <w:sz w:val="16"/>
                <w:szCs w:val="16"/>
                <w:color w:val="auto"/>
              </w:rPr>
              <w:t>Accounts payable</w:t>
            </w:r>
          </w:p>
        </w:tc>
        <w:tc>
          <w:tcPr>
            <w:tcW w:w="1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556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1,387</w:t>
            </w:r>
          </w:p>
        </w:tc>
        <w:tc>
          <w:tcPr>
            <w:tcW w:w="0" w:type="dxa"/>
            <w:vAlign w:val="bottom"/>
          </w:tcPr>
          <w:p>
            <w:pPr>
              <w:spacing w:after="0"/>
              <w:rPr>
                <w:sz w:val="1"/>
                <w:szCs w:val="1"/>
                <w:color w:val="auto"/>
              </w:rPr>
            </w:pPr>
          </w:p>
        </w:tc>
      </w:tr>
      <w:tr>
        <w:trPr>
          <w:trHeight w:val="251"/>
        </w:trPr>
        <w:tc>
          <w:tcPr>
            <w:tcW w:w="8620" w:type="dxa"/>
            <w:vAlign w:val="bottom"/>
            <w:shd w:val="clear" w:color="auto" w:fill="CCEEFF"/>
          </w:tcPr>
          <w:p>
            <w:pPr>
              <w:ind w:left="720"/>
              <w:spacing w:after="0"/>
              <w:rPr>
                <w:sz w:val="20"/>
                <w:szCs w:val="20"/>
                <w:color w:val="auto"/>
              </w:rPr>
            </w:pPr>
            <w:r>
              <w:rPr>
                <w:rFonts w:ascii="Arial" w:cs="Arial" w:eastAsia="Arial" w:hAnsi="Arial"/>
                <w:sz w:val="16"/>
                <w:szCs w:val="16"/>
                <w:color w:val="auto"/>
              </w:rPr>
              <w:t>Accrued expenses and other current liabilities</w:t>
            </w:r>
          </w:p>
        </w:tc>
        <w:tc>
          <w:tcPr>
            <w:tcW w:w="1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(766)</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(2,149)</w:t>
            </w:r>
          </w:p>
        </w:tc>
        <w:tc>
          <w:tcPr>
            <w:tcW w:w="0" w:type="dxa"/>
            <w:vAlign w:val="bottom"/>
          </w:tcPr>
          <w:p>
            <w:pPr>
              <w:spacing w:after="0"/>
              <w:rPr>
                <w:sz w:val="1"/>
                <w:szCs w:val="1"/>
                <w:color w:val="auto"/>
              </w:rPr>
            </w:pPr>
          </w:p>
        </w:tc>
      </w:tr>
      <w:tr>
        <w:trPr>
          <w:trHeight w:val="235"/>
        </w:trPr>
        <w:tc>
          <w:tcPr>
            <w:tcW w:w="8620" w:type="dxa"/>
            <w:vAlign w:val="bottom"/>
          </w:tcPr>
          <w:p>
            <w:pPr>
              <w:ind w:left="720"/>
              <w:spacing w:after="0"/>
              <w:rPr>
                <w:sz w:val="20"/>
                <w:szCs w:val="20"/>
                <w:color w:val="auto"/>
              </w:rPr>
            </w:pPr>
            <w:r>
              <w:rPr>
                <w:rFonts w:ascii="Arial" w:cs="Arial" w:eastAsia="Arial" w:hAnsi="Arial"/>
                <w:sz w:val="16"/>
                <w:szCs w:val="16"/>
                <w:color w:val="auto"/>
              </w:rPr>
              <w:t>Operating lease liabilities</w:t>
            </w:r>
          </w:p>
        </w:tc>
        <w:tc>
          <w:tcPr>
            <w:tcW w:w="1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(514)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(444)</w:t>
            </w:r>
          </w:p>
        </w:tc>
        <w:tc>
          <w:tcPr>
            <w:tcW w:w="0" w:type="dxa"/>
            <w:vAlign w:val="bottom"/>
          </w:tcPr>
          <w:p>
            <w:pPr>
              <w:spacing w:after="0"/>
              <w:rPr>
                <w:sz w:val="1"/>
                <w:szCs w:val="1"/>
                <w:color w:val="auto"/>
              </w:rPr>
            </w:pPr>
          </w:p>
        </w:tc>
      </w:tr>
      <w:tr>
        <w:trPr>
          <w:trHeight w:val="251"/>
        </w:trPr>
        <w:tc>
          <w:tcPr>
            <w:tcW w:w="8620" w:type="dxa"/>
            <w:vAlign w:val="bottom"/>
            <w:shd w:val="clear" w:color="auto" w:fill="CCEEFF"/>
          </w:tcPr>
          <w:p>
            <w:pPr>
              <w:ind w:left="720"/>
              <w:spacing w:after="0"/>
              <w:rPr>
                <w:sz w:val="20"/>
                <w:szCs w:val="20"/>
                <w:color w:val="auto"/>
              </w:rPr>
            </w:pPr>
            <w:r>
              <w:rPr>
                <w:rFonts w:ascii="Arial" w:cs="Arial" w:eastAsia="Arial" w:hAnsi="Arial"/>
                <w:sz w:val="16"/>
                <w:szCs w:val="16"/>
                <w:color w:val="auto"/>
              </w:rPr>
              <w:t>Other liabilities</w:t>
            </w:r>
          </w:p>
        </w:tc>
        <w:tc>
          <w:tcPr>
            <w:tcW w:w="12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192</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30"/>
        </w:trPr>
        <w:tc>
          <w:tcPr>
            <w:tcW w:w="8620" w:type="dxa"/>
            <w:vAlign w:val="bottom"/>
            <w:tcBorders>
              <w:bottom w:val="single" w:sz="8" w:color="CCEEFF"/>
            </w:tcBorders>
          </w:tcPr>
          <w:p>
            <w:pPr>
              <w:ind w:left="1080"/>
              <w:spacing w:after="0"/>
              <w:rPr>
                <w:sz w:val="20"/>
                <w:szCs w:val="20"/>
                <w:color w:val="auto"/>
              </w:rPr>
            </w:pPr>
            <w:r>
              <w:rPr>
                <w:rFonts w:ascii="Arial" w:cs="Arial" w:eastAsia="Arial" w:hAnsi="Arial"/>
                <w:sz w:val="16"/>
                <w:szCs w:val="16"/>
                <w:color w:val="auto"/>
              </w:rPr>
              <w:t>Net cash used in operating activities</w:t>
            </w: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(29,494)</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(16,506)</w:t>
            </w:r>
          </w:p>
        </w:tc>
        <w:tc>
          <w:tcPr>
            <w:tcW w:w="0" w:type="dxa"/>
            <w:vAlign w:val="bottom"/>
          </w:tcPr>
          <w:p>
            <w:pPr>
              <w:spacing w:after="0"/>
              <w:rPr>
                <w:sz w:val="1"/>
                <w:szCs w:val="1"/>
                <w:color w:val="auto"/>
              </w:rPr>
            </w:pPr>
          </w:p>
        </w:tc>
      </w:tr>
      <w:tr>
        <w:trPr>
          <w:trHeight w:val="230"/>
        </w:trPr>
        <w:tc>
          <w:tcPr>
            <w:tcW w:w="86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Investing activities:</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8620" w:type="dxa"/>
            <w:vAlign w:val="bottom"/>
          </w:tcPr>
          <w:p>
            <w:pPr>
              <w:ind w:left="380"/>
              <w:spacing w:after="0"/>
              <w:rPr>
                <w:sz w:val="20"/>
                <w:szCs w:val="20"/>
                <w:color w:val="auto"/>
              </w:rPr>
            </w:pPr>
            <w:r>
              <w:rPr>
                <w:rFonts w:ascii="Arial" w:cs="Arial" w:eastAsia="Arial" w:hAnsi="Arial"/>
                <w:sz w:val="16"/>
                <w:szCs w:val="16"/>
                <w:color w:val="auto"/>
              </w:rPr>
              <w:t>Proceeds from maturities of marketable securities</w:t>
            </w:r>
          </w:p>
        </w:tc>
        <w:tc>
          <w:tcPr>
            <w:tcW w:w="1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45,000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1"/>
        </w:trPr>
        <w:tc>
          <w:tcPr>
            <w:tcW w:w="86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Purchases of property and equipment</w:t>
            </w:r>
          </w:p>
        </w:tc>
        <w:tc>
          <w:tcPr>
            <w:tcW w:w="12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(5,531)</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(2,320)</w:t>
            </w:r>
          </w:p>
        </w:tc>
        <w:tc>
          <w:tcPr>
            <w:tcW w:w="0" w:type="dxa"/>
            <w:vAlign w:val="bottom"/>
          </w:tcPr>
          <w:p>
            <w:pPr>
              <w:spacing w:after="0"/>
              <w:rPr>
                <w:sz w:val="1"/>
                <w:szCs w:val="1"/>
                <w:color w:val="auto"/>
              </w:rPr>
            </w:pPr>
          </w:p>
        </w:tc>
      </w:tr>
      <w:tr>
        <w:trPr>
          <w:trHeight w:val="230"/>
        </w:trPr>
        <w:tc>
          <w:tcPr>
            <w:tcW w:w="8620" w:type="dxa"/>
            <w:vAlign w:val="bottom"/>
            <w:tcBorders>
              <w:bottom w:val="single" w:sz="8" w:color="CCEEFF"/>
            </w:tcBorders>
          </w:tcPr>
          <w:p>
            <w:pPr>
              <w:ind w:left="720"/>
              <w:spacing w:after="0"/>
              <w:rPr>
                <w:sz w:val="20"/>
                <w:szCs w:val="20"/>
                <w:color w:val="auto"/>
              </w:rPr>
            </w:pPr>
            <w:r>
              <w:rPr>
                <w:rFonts w:ascii="Arial" w:cs="Arial" w:eastAsia="Arial" w:hAnsi="Arial"/>
                <w:sz w:val="16"/>
                <w:szCs w:val="16"/>
                <w:color w:val="auto"/>
              </w:rPr>
              <w:t>Net cash provided by (used in) investing activities</w:t>
            </w: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39,469</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(2,320)</w:t>
            </w:r>
          </w:p>
        </w:tc>
        <w:tc>
          <w:tcPr>
            <w:tcW w:w="0" w:type="dxa"/>
            <w:vAlign w:val="bottom"/>
          </w:tcPr>
          <w:p>
            <w:pPr>
              <w:spacing w:after="0"/>
              <w:rPr>
                <w:sz w:val="1"/>
                <w:szCs w:val="1"/>
                <w:color w:val="auto"/>
              </w:rPr>
            </w:pPr>
          </w:p>
        </w:tc>
      </w:tr>
      <w:tr>
        <w:trPr>
          <w:trHeight w:val="230"/>
        </w:trPr>
        <w:tc>
          <w:tcPr>
            <w:tcW w:w="86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Financing activities:</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8620" w:type="dxa"/>
            <w:vAlign w:val="bottom"/>
          </w:tcPr>
          <w:p>
            <w:pPr>
              <w:ind w:left="380"/>
              <w:spacing w:after="0"/>
              <w:rPr>
                <w:sz w:val="20"/>
                <w:szCs w:val="20"/>
                <w:color w:val="auto"/>
              </w:rPr>
            </w:pPr>
            <w:r>
              <w:rPr>
                <w:rFonts w:ascii="Arial" w:cs="Arial" w:eastAsia="Arial" w:hAnsi="Arial"/>
                <w:sz w:val="16"/>
                <w:szCs w:val="16"/>
                <w:color w:val="auto"/>
              </w:rPr>
              <w:t>Repayment of debt</w:t>
            </w:r>
          </w:p>
        </w:tc>
        <w:tc>
          <w:tcPr>
            <w:tcW w:w="1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(364)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(2,249)</w:t>
            </w:r>
          </w:p>
        </w:tc>
        <w:tc>
          <w:tcPr>
            <w:tcW w:w="0" w:type="dxa"/>
            <w:vAlign w:val="bottom"/>
          </w:tcPr>
          <w:p>
            <w:pPr>
              <w:spacing w:after="0"/>
              <w:rPr>
                <w:sz w:val="1"/>
                <w:szCs w:val="1"/>
                <w:color w:val="auto"/>
              </w:rPr>
            </w:pPr>
          </w:p>
        </w:tc>
      </w:tr>
      <w:tr>
        <w:trPr>
          <w:trHeight w:val="251"/>
        </w:trPr>
        <w:tc>
          <w:tcPr>
            <w:tcW w:w="86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Proceeds from issuance of simple agreements for future equity</w:t>
            </w:r>
          </w:p>
        </w:tc>
        <w:tc>
          <w:tcPr>
            <w:tcW w:w="12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21,660</w:t>
            </w:r>
          </w:p>
        </w:tc>
        <w:tc>
          <w:tcPr>
            <w:tcW w:w="0" w:type="dxa"/>
            <w:vAlign w:val="bottom"/>
          </w:tcPr>
          <w:p>
            <w:pPr>
              <w:spacing w:after="0"/>
              <w:rPr>
                <w:sz w:val="1"/>
                <w:szCs w:val="1"/>
                <w:color w:val="auto"/>
              </w:rPr>
            </w:pPr>
          </w:p>
        </w:tc>
      </w:tr>
      <w:tr>
        <w:trPr>
          <w:trHeight w:val="235"/>
        </w:trPr>
        <w:tc>
          <w:tcPr>
            <w:tcW w:w="8620" w:type="dxa"/>
            <w:vAlign w:val="bottom"/>
          </w:tcPr>
          <w:p>
            <w:pPr>
              <w:ind w:left="380"/>
              <w:spacing w:after="0"/>
              <w:rPr>
                <w:sz w:val="20"/>
                <w:szCs w:val="20"/>
                <w:color w:val="auto"/>
              </w:rPr>
            </w:pPr>
            <w:r>
              <w:rPr>
                <w:rFonts w:ascii="Arial" w:cs="Arial" w:eastAsia="Arial" w:hAnsi="Arial"/>
                <w:sz w:val="16"/>
                <w:szCs w:val="16"/>
                <w:color w:val="auto"/>
              </w:rPr>
              <w:t>Proceeds from exercise of stock options</w:t>
            </w:r>
          </w:p>
        </w:tc>
        <w:tc>
          <w:tcPr>
            <w:tcW w:w="1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985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383</w:t>
            </w:r>
          </w:p>
        </w:tc>
        <w:tc>
          <w:tcPr>
            <w:tcW w:w="0" w:type="dxa"/>
            <w:vAlign w:val="bottom"/>
          </w:tcPr>
          <w:p>
            <w:pPr>
              <w:spacing w:after="0"/>
              <w:rPr>
                <w:sz w:val="1"/>
                <w:szCs w:val="1"/>
                <w:color w:val="auto"/>
              </w:rPr>
            </w:pPr>
          </w:p>
        </w:tc>
      </w:tr>
      <w:tr>
        <w:trPr>
          <w:trHeight w:val="251"/>
        </w:trPr>
        <w:tc>
          <w:tcPr>
            <w:tcW w:w="86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Proceeds from exercise of common stock warrants</w:t>
            </w:r>
          </w:p>
        </w:tc>
        <w:tc>
          <w:tcPr>
            <w:tcW w:w="1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3,593</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6"/>
        </w:trPr>
        <w:tc>
          <w:tcPr>
            <w:tcW w:w="8620" w:type="dxa"/>
            <w:vAlign w:val="bottom"/>
          </w:tcPr>
          <w:p>
            <w:pPr>
              <w:ind w:left="380"/>
              <w:spacing w:after="0"/>
              <w:rPr>
                <w:sz w:val="20"/>
                <w:szCs w:val="20"/>
                <w:color w:val="auto"/>
              </w:rPr>
            </w:pPr>
            <w:r>
              <w:rPr>
                <w:rFonts w:ascii="Arial" w:cs="Arial" w:eastAsia="Arial" w:hAnsi="Arial"/>
                <w:sz w:val="16"/>
                <w:szCs w:val="16"/>
                <w:color w:val="auto"/>
              </w:rPr>
              <w:t>Payments for deferred offering costs</w:t>
            </w:r>
          </w:p>
        </w:tc>
        <w:tc>
          <w:tcPr>
            <w:tcW w:w="120" w:type="dxa"/>
            <w:vAlign w:val="bottom"/>
          </w:tcPr>
          <w:p>
            <w:pPr>
              <w:spacing w:after="0"/>
              <w:rPr>
                <w:sz w:val="20"/>
                <w:szCs w:val="20"/>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43"/>
        </w:trPr>
        <w:tc>
          <w:tcPr>
            <w:tcW w:w="8620" w:type="dxa"/>
            <w:vAlign w:val="bottom"/>
            <w:tcBorders>
              <w:top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Net cash provided by financing activities</w:t>
            </w:r>
          </w:p>
        </w:tc>
        <w:tc>
          <w:tcPr>
            <w:tcW w:w="120" w:type="dxa"/>
            <w:vAlign w:val="bottom"/>
            <w:tcBorders>
              <w:top w:val="single" w:sz="8" w:color="auto"/>
              <w:bottom w:val="single" w:sz="8" w:color="auto"/>
            </w:tcBorders>
            <w:shd w:val="clear" w:color="auto" w:fill="CCEEFF"/>
          </w:tcPr>
          <w:p>
            <w:pPr>
              <w:spacing w:after="0"/>
              <w:rPr>
                <w:sz w:val="21"/>
                <w:szCs w:val="21"/>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4,214</w:t>
            </w:r>
          </w:p>
        </w:tc>
        <w:tc>
          <w:tcPr>
            <w:tcW w:w="10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spacing w:after="0"/>
              <w:rPr>
                <w:sz w:val="21"/>
                <w:szCs w:val="21"/>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19,784</w:t>
            </w:r>
          </w:p>
        </w:tc>
        <w:tc>
          <w:tcPr>
            <w:tcW w:w="0" w:type="dxa"/>
            <w:vAlign w:val="bottom"/>
          </w:tcPr>
          <w:p>
            <w:pPr>
              <w:spacing w:after="0"/>
              <w:rPr>
                <w:sz w:val="1"/>
                <w:szCs w:val="1"/>
                <w:color w:val="auto"/>
              </w:rPr>
            </w:pPr>
          </w:p>
        </w:tc>
      </w:tr>
      <w:tr>
        <w:trPr>
          <w:trHeight w:val="229"/>
        </w:trPr>
        <w:tc>
          <w:tcPr>
            <w:tcW w:w="8620" w:type="dxa"/>
            <w:vAlign w:val="bottom"/>
          </w:tcPr>
          <w:p>
            <w:pPr>
              <w:ind w:left="20"/>
              <w:spacing w:after="0"/>
              <w:rPr>
                <w:sz w:val="20"/>
                <w:szCs w:val="20"/>
                <w:color w:val="auto"/>
              </w:rPr>
            </w:pPr>
            <w:r>
              <w:rPr>
                <w:rFonts w:ascii="Arial" w:cs="Arial" w:eastAsia="Arial" w:hAnsi="Arial"/>
                <w:sz w:val="16"/>
                <w:szCs w:val="16"/>
                <w:color w:val="auto"/>
              </w:rPr>
              <w:t>Net change in cash and cash equivalents and restricted cash</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14,189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958</w:t>
            </w:r>
          </w:p>
        </w:tc>
        <w:tc>
          <w:tcPr>
            <w:tcW w:w="0" w:type="dxa"/>
            <w:vAlign w:val="bottom"/>
          </w:tcPr>
          <w:p>
            <w:pPr>
              <w:spacing w:after="0"/>
              <w:rPr>
                <w:sz w:val="1"/>
                <w:szCs w:val="1"/>
                <w:color w:val="auto"/>
              </w:rPr>
            </w:pPr>
          </w:p>
        </w:tc>
      </w:tr>
      <w:tr>
        <w:trPr>
          <w:trHeight w:val="251"/>
        </w:trPr>
        <w:tc>
          <w:tcPr>
            <w:tcW w:w="8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and cash equivalents and restricted cash at beginning of period</w:t>
            </w:r>
          </w:p>
        </w:tc>
        <w:tc>
          <w:tcPr>
            <w:tcW w:w="12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52,211</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18,159</w:t>
            </w:r>
          </w:p>
        </w:tc>
        <w:tc>
          <w:tcPr>
            <w:tcW w:w="0" w:type="dxa"/>
            <w:vAlign w:val="bottom"/>
          </w:tcPr>
          <w:p>
            <w:pPr>
              <w:spacing w:after="0"/>
              <w:rPr>
                <w:sz w:val="1"/>
                <w:szCs w:val="1"/>
                <w:color w:val="auto"/>
              </w:rPr>
            </w:pPr>
          </w:p>
        </w:tc>
      </w:tr>
      <w:tr>
        <w:trPr>
          <w:trHeight w:val="230"/>
        </w:trPr>
        <w:tc>
          <w:tcPr>
            <w:tcW w:w="8620" w:type="dxa"/>
            <w:vAlign w:val="bottom"/>
          </w:tcPr>
          <w:p>
            <w:pPr>
              <w:ind w:left="20"/>
              <w:spacing w:after="0"/>
              <w:rPr>
                <w:sz w:val="20"/>
                <w:szCs w:val="20"/>
                <w:color w:val="auto"/>
              </w:rPr>
            </w:pPr>
            <w:r>
              <w:rPr>
                <w:rFonts w:ascii="Arial" w:cs="Arial" w:eastAsia="Arial" w:hAnsi="Arial"/>
                <w:sz w:val="16"/>
                <w:szCs w:val="16"/>
                <w:color w:val="auto"/>
              </w:rPr>
              <w:t>Cash and cash equivalents and restricted cash at end of period</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66,400</w:t>
            </w:r>
          </w:p>
        </w:tc>
        <w:tc>
          <w:tcPr>
            <w:tcW w:w="100" w:type="dxa"/>
            <w:vAlign w:val="bottom"/>
          </w:tcPr>
          <w:p>
            <w:pPr>
              <w:spacing w:after="0"/>
              <w:rPr>
                <w:sz w:val="20"/>
                <w:szCs w:val="20"/>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19,117</w:t>
            </w:r>
          </w:p>
        </w:tc>
        <w:tc>
          <w:tcPr>
            <w:tcW w:w="0" w:type="dxa"/>
            <w:vAlign w:val="bottom"/>
          </w:tcPr>
          <w:p>
            <w:pPr>
              <w:spacing w:after="0"/>
              <w:rPr>
                <w:sz w:val="1"/>
                <w:szCs w:val="1"/>
                <w:color w:val="auto"/>
              </w:rPr>
            </w:pPr>
          </w:p>
        </w:tc>
      </w:tr>
      <w:tr>
        <w:trPr>
          <w:trHeight w:val="20"/>
        </w:trPr>
        <w:tc>
          <w:tcPr>
            <w:tcW w:w="86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6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Components of cash and restricted cash at period end:</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8620" w:type="dxa"/>
            <w:vAlign w:val="bottom"/>
          </w:tcPr>
          <w:p>
            <w:pPr>
              <w:ind w:left="380"/>
              <w:spacing w:after="0"/>
              <w:rPr>
                <w:sz w:val="20"/>
                <w:szCs w:val="20"/>
                <w:color w:val="auto"/>
              </w:rPr>
            </w:pPr>
            <w:r>
              <w:rPr>
                <w:rFonts w:ascii="Arial" w:cs="Arial" w:eastAsia="Arial" w:hAnsi="Arial"/>
                <w:sz w:val="16"/>
                <w:szCs w:val="16"/>
                <w:color w:val="auto"/>
              </w:rPr>
              <w:t>Cash and cash equivalents</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64,950</w:t>
            </w:r>
          </w:p>
        </w:tc>
        <w:tc>
          <w:tcPr>
            <w:tcW w:w="100" w:type="dxa"/>
            <w:vAlign w:val="bottom"/>
          </w:tcPr>
          <w:p>
            <w:pPr>
              <w:spacing w:after="0"/>
              <w:rPr>
                <w:sz w:val="20"/>
                <w:szCs w:val="20"/>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17,667</w:t>
            </w:r>
          </w:p>
        </w:tc>
        <w:tc>
          <w:tcPr>
            <w:tcW w:w="0" w:type="dxa"/>
            <w:vAlign w:val="bottom"/>
          </w:tcPr>
          <w:p>
            <w:pPr>
              <w:spacing w:after="0"/>
              <w:rPr>
                <w:sz w:val="1"/>
                <w:szCs w:val="1"/>
                <w:color w:val="auto"/>
              </w:rPr>
            </w:pPr>
          </w:p>
        </w:tc>
      </w:tr>
      <w:tr>
        <w:trPr>
          <w:trHeight w:val="251"/>
        </w:trPr>
        <w:tc>
          <w:tcPr>
            <w:tcW w:w="86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Restricted cash included in prepaid and other current assets</w:t>
            </w:r>
          </w:p>
        </w:tc>
        <w:tc>
          <w:tcPr>
            <w:tcW w:w="1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600</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6"/>
        </w:trPr>
        <w:tc>
          <w:tcPr>
            <w:tcW w:w="862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Restricted cash</w:t>
            </w: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850</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1,450</w:t>
            </w:r>
          </w:p>
        </w:tc>
        <w:tc>
          <w:tcPr>
            <w:tcW w:w="0" w:type="dxa"/>
            <w:vAlign w:val="bottom"/>
          </w:tcPr>
          <w:p>
            <w:pPr>
              <w:spacing w:after="0"/>
              <w:rPr>
                <w:sz w:val="1"/>
                <w:szCs w:val="1"/>
                <w:color w:val="auto"/>
              </w:rPr>
            </w:pPr>
          </w:p>
        </w:tc>
      </w:tr>
      <w:tr>
        <w:trPr>
          <w:trHeight w:val="261"/>
        </w:trPr>
        <w:tc>
          <w:tcPr>
            <w:tcW w:w="8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cash and cash equivalents and restricted cash</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66,400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19,117</w:t>
            </w:r>
          </w:p>
        </w:tc>
        <w:tc>
          <w:tcPr>
            <w:tcW w:w="0" w:type="dxa"/>
            <w:vAlign w:val="bottom"/>
          </w:tcPr>
          <w:p>
            <w:pPr>
              <w:spacing w:after="0"/>
              <w:rPr>
                <w:sz w:val="1"/>
                <w:szCs w:val="1"/>
                <w:color w:val="auto"/>
              </w:rPr>
            </w:pPr>
          </w:p>
        </w:tc>
      </w:tr>
      <w:tr>
        <w:trPr>
          <w:trHeight w:val="20"/>
        </w:trPr>
        <w:tc>
          <w:tcPr>
            <w:tcW w:w="86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Supplemental disclosure of cash activities:</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86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7"/>
        </w:trPr>
        <w:tc>
          <w:tcPr>
            <w:tcW w:w="86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Cash paid for interest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798</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1,039</w:t>
            </w:r>
          </w:p>
        </w:tc>
        <w:tc>
          <w:tcPr>
            <w:tcW w:w="0" w:type="dxa"/>
            <w:vAlign w:val="bottom"/>
          </w:tcPr>
          <w:p>
            <w:pPr>
              <w:spacing w:after="0"/>
              <w:rPr>
                <w:sz w:val="1"/>
                <w:szCs w:val="1"/>
                <w:color w:val="auto"/>
              </w:rPr>
            </w:pPr>
          </w:p>
        </w:tc>
      </w:tr>
      <w:tr>
        <w:trPr>
          <w:trHeight w:val="239"/>
        </w:trPr>
        <w:tc>
          <w:tcPr>
            <w:tcW w:w="8620" w:type="dxa"/>
            <w:vAlign w:val="bottom"/>
          </w:tcPr>
          <w:p>
            <w:pPr>
              <w:ind w:left="20"/>
              <w:spacing w:after="0"/>
              <w:rPr>
                <w:sz w:val="20"/>
                <w:szCs w:val="20"/>
                <w:color w:val="auto"/>
              </w:rPr>
            </w:pPr>
            <w:r>
              <w:rPr>
                <w:rFonts w:ascii="Arial" w:cs="Arial" w:eastAsia="Arial" w:hAnsi="Arial"/>
                <w:sz w:val="16"/>
                <w:szCs w:val="16"/>
                <w:b w:val="1"/>
                <w:bCs w:val="1"/>
                <w:color w:val="auto"/>
              </w:rPr>
              <w:t>Supplemental disclosure of non-cash activities:</w:t>
            </w: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6"/>
        </w:trPr>
        <w:tc>
          <w:tcPr>
            <w:tcW w:w="86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Purchases of property and equipment included in accounts payable and accrued expenses and other current</w:t>
            </w: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86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liabilities</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585</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833</w:t>
            </w:r>
          </w:p>
        </w:tc>
        <w:tc>
          <w:tcPr>
            <w:tcW w:w="0" w:type="dxa"/>
            <w:vAlign w:val="bottom"/>
          </w:tcPr>
          <w:p>
            <w:pPr>
              <w:spacing w:after="0"/>
              <w:rPr>
                <w:sz w:val="1"/>
                <w:szCs w:val="1"/>
                <w:color w:val="auto"/>
              </w:rPr>
            </w:pPr>
          </w:p>
        </w:tc>
      </w:tr>
      <w:tr>
        <w:trPr>
          <w:trHeight w:val="235"/>
        </w:trPr>
        <w:tc>
          <w:tcPr>
            <w:tcW w:w="8620" w:type="dxa"/>
            <w:vAlign w:val="bottom"/>
          </w:tcPr>
          <w:p>
            <w:pPr>
              <w:ind w:left="380"/>
              <w:spacing w:after="0"/>
              <w:rPr>
                <w:sz w:val="20"/>
                <w:szCs w:val="20"/>
                <w:color w:val="auto"/>
              </w:rPr>
            </w:pPr>
            <w:r>
              <w:rPr>
                <w:rFonts w:ascii="Arial" w:cs="Arial" w:eastAsia="Arial" w:hAnsi="Arial"/>
                <w:sz w:val="16"/>
                <w:szCs w:val="16"/>
                <w:color w:val="auto"/>
              </w:rPr>
              <w:t>Proceeds from exercise of stock options included in prepaid and other current assets</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125</w:t>
            </w:r>
          </w:p>
        </w:tc>
        <w:tc>
          <w:tcPr>
            <w:tcW w:w="0" w:type="dxa"/>
            <w:vAlign w:val="bottom"/>
          </w:tcPr>
          <w:p>
            <w:pPr>
              <w:spacing w:after="0"/>
              <w:rPr>
                <w:sz w:val="1"/>
                <w:szCs w:val="1"/>
                <w:color w:val="auto"/>
              </w:rPr>
            </w:pPr>
          </w:p>
        </w:tc>
      </w:tr>
      <w:tr>
        <w:trPr>
          <w:trHeight w:val="251"/>
        </w:trPr>
        <w:tc>
          <w:tcPr>
            <w:tcW w:w="86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Deferred offering costs related to reverse recapitalization included in accrued liabilities</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w:t>
            </w:r>
          </w:p>
        </w:tc>
        <w:tc>
          <w:tcPr>
            <w:tcW w:w="0" w:type="dxa"/>
            <w:vAlign w:val="bottom"/>
          </w:tcPr>
          <w:p>
            <w:pPr>
              <w:spacing w:after="0"/>
              <w:rPr>
                <w:sz w:val="1"/>
                <w:szCs w:val="1"/>
                <w:color w:val="auto"/>
              </w:rPr>
            </w:pPr>
          </w:p>
        </w:tc>
      </w:tr>
      <w:tr>
        <w:trPr>
          <w:trHeight w:val="228"/>
        </w:trPr>
        <w:tc>
          <w:tcPr>
            <w:tcW w:w="8620" w:type="dxa"/>
            <w:vAlign w:val="bottom"/>
          </w:tcPr>
          <w:p>
            <w:pPr>
              <w:ind w:left="380"/>
              <w:spacing w:after="0"/>
              <w:rPr>
                <w:sz w:val="20"/>
                <w:szCs w:val="20"/>
                <w:color w:val="auto"/>
              </w:rPr>
            </w:pPr>
            <w:r>
              <w:rPr>
                <w:rFonts w:ascii="Arial" w:cs="Arial" w:eastAsia="Arial" w:hAnsi="Arial"/>
                <w:sz w:val="16"/>
                <w:szCs w:val="16"/>
                <w:color w:val="auto"/>
              </w:rPr>
              <w:t>Unrealized losses on marketable securities</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19"/>
                <w:szCs w:val="19"/>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ectPr>
          <w:pgSz w:w="11900" w:h="16838" w:orient="portrait"/>
          <w:cols w:equalWidth="0" w:num="1">
            <w:col w:w="11240"/>
          </w:cols>
          <w:pgMar w:left="320" w:top="985" w:right="339" w:bottom="1440" w:gutter="0" w:footer="0" w:header="0"/>
        </w:sectPr>
      </w:pPr>
    </w:p>
    <w:bookmarkStart w:id="64" w:name="page65"/>
    <w:bookmarkEnd w:id="64"/>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7160" w:type="dxa"/>
            <w:vAlign w:val="bottom"/>
          </w:tcPr>
          <w:p>
            <w:pPr>
              <w:jc w:val="center"/>
              <w:ind w:left="3030"/>
              <w:spacing w:after="0"/>
              <w:rPr>
                <w:sz w:val="20"/>
                <w:szCs w:val="20"/>
                <w:color w:val="auto"/>
              </w:rPr>
            </w:pPr>
            <w:r>
              <w:rPr>
                <w:rFonts w:ascii="Arial" w:cs="Arial" w:eastAsia="Arial" w:hAnsi="Arial"/>
                <w:sz w:val="18"/>
                <w:szCs w:val="18"/>
                <w:b w:val="1"/>
                <w:bCs w:val="1"/>
                <w:color w:val="auto"/>
                <w:w w:val="99"/>
              </w:rPr>
              <w:t>Kodiak AI, Inc.</w:t>
            </w:r>
          </w:p>
        </w:tc>
        <w:tc>
          <w:tcPr>
            <w:tcW w:w="1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432"/>
        </w:trPr>
        <w:tc>
          <w:tcPr>
            <w:tcW w:w="8780" w:type="dxa"/>
            <w:vAlign w:val="bottom"/>
            <w:gridSpan w:val="4"/>
          </w:tcPr>
          <w:p>
            <w:pPr>
              <w:jc w:val="center"/>
              <w:ind w:left="1410"/>
              <w:spacing w:after="0"/>
              <w:rPr>
                <w:sz w:val="20"/>
                <w:szCs w:val="20"/>
                <w:color w:val="auto"/>
              </w:rPr>
            </w:pPr>
            <w:r>
              <w:rPr>
                <w:rFonts w:ascii="Arial" w:cs="Arial" w:eastAsia="Arial" w:hAnsi="Arial"/>
                <w:sz w:val="18"/>
                <w:szCs w:val="18"/>
                <w:b w:val="1"/>
                <w:bCs w:val="1"/>
                <w:color w:val="auto"/>
                <w:w w:val="99"/>
              </w:rPr>
              <w:t>Reconciliation of GAAP to Non-GAAP Financial Information</w:t>
            </w: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432"/>
        </w:trPr>
        <w:tc>
          <w:tcPr>
            <w:tcW w:w="7160" w:type="dxa"/>
            <w:vAlign w:val="bottom"/>
          </w:tcPr>
          <w:p>
            <w:pPr>
              <w:jc w:val="center"/>
              <w:ind w:left="2990"/>
              <w:spacing w:after="0"/>
              <w:rPr>
                <w:sz w:val="20"/>
                <w:szCs w:val="20"/>
                <w:color w:val="auto"/>
              </w:rPr>
            </w:pPr>
            <w:r>
              <w:rPr>
                <w:rFonts w:ascii="Arial" w:cs="Arial" w:eastAsia="Arial" w:hAnsi="Arial"/>
                <w:sz w:val="18"/>
                <w:szCs w:val="18"/>
                <w:b w:val="1"/>
                <w:bCs w:val="1"/>
                <w:color w:val="auto"/>
                <w:w w:val="99"/>
              </w:rPr>
              <w:t>(In thousands; unaudited)</w:t>
            </w: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495"/>
        </w:trPr>
        <w:tc>
          <w:tcPr>
            <w:tcW w:w="71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4"/>
          </w:tcPr>
          <w:p>
            <w:pPr>
              <w:jc w:val="right"/>
              <w:ind w:right="130"/>
              <w:spacing w:after="0"/>
              <w:rPr>
                <w:sz w:val="20"/>
                <w:szCs w:val="20"/>
                <w:color w:val="auto"/>
              </w:rPr>
            </w:pPr>
            <w:r>
              <w:rPr>
                <w:rFonts w:ascii="Arial" w:cs="Arial" w:eastAsia="Arial" w:hAnsi="Arial"/>
                <w:sz w:val="18"/>
                <w:szCs w:val="18"/>
                <w:b w:val="1"/>
                <w:bCs w:val="1"/>
                <w:color w:val="auto"/>
              </w:rPr>
              <w:t>Three Months Ended March 31,</w:t>
            </w:r>
          </w:p>
        </w:tc>
      </w:tr>
      <w:tr>
        <w:trPr>
          <w:trHeight w:val="263"/>
        </w:trPr>
        <w:tc>
          <w:tcPr>
            <w:tcW w:w="716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2026</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2025</w:t>
            </w:r>
          </w:p>
        </w:tc>
      </w:tr>
      <w:tr>
        <w:trPr>
          <w:trHeight w:val="257"/>
        </w:trPr>
        <w:tc>
          <w:tcPr>
            <w:tcW w:w="71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Research and development expense reconciliation:</w:t>
            </w:r>
          </w:p>
        </w:tc>
        <w:tc>
          <w:tcPr>
            <w:tcW w:w="18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r>
      <w:tr>
        <w:trPr>
          <w:trHeight w:val="229"/>
        </w:trPr>
        <w:tc>
          <w:tcPr>
            <w:tcW w:w="7160" w:type="dxa"/>
            <w:vAlign w:val="bottom"/>
          </w:tcPr>
          <w:p>
            <w:pPr>
              <w:ind w:left="20"/>
              <w:spacing w:after="0"/>
              <w:rPr>
                <w:sz w:val="20"/>
                <w:szCs w:val="20"/>
                <w:color w:val="auto"/>
              </w:rPr>
            </w:pPr>
            <w:r>
              <w:rPr>
                <w:rFonts w:ascii="Arial" w:cs="Arial" w:eastAsia="Arial" w:hAnsi="Arial"/>
                <w:sz w:val="18"/>
                <w:szCs w:val="18"/>
                <w:color w:val="auto"/>
              </w:rPr>
              <w:t>GAAP research and development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17,550</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10,134</w:t>
            </w:r>
          </w:p>
        </w:tc>
      </w:tr>
      <w:tr>
        <w:trPr>
          <w:trHeight w:val="230"/>
        </w:trPr>
        <w:tc>
          <w:tcPr>
            <w:tcW w:w="71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Stock-based compensation</w:t>
            </w: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(1,185)</w:t>
            </w:r>
          </w:p>
        </w:tc>
      </w:tr>
      <w:tr>
        <w:trPr>
          <w:trHeight w:val="223"/>
        </w:trPr>
        <w:tc>
          <w:tcPr>
            <w:tcW w:w="7160" w:type="dxa"/>
            <w:vAlign w:val="bottom"/>
          </w:tcPr>
          <w:p>
            <w:pPr>
              <w:ind w:left="20"/>
              <w:spacing w:after="0"/>
              <w:rPr>
                <w:sz w:val="20"/>
                <w:szCs w:val="20"/>
                <w:color w:val="auto"/>
              </w:rPr>
            </w:pPr>
            <w:r>
              <w:rPr>
                <w:rFonts w:ascii="Arial" w:cs="Arial" w:eastAsia="Arial" w:hAnsi="Arial"/>
                <w:sz w:val="18"/>
                <w:szCs w:val="18"/>
                <w:color w:val="auto"/>
              </w:rPr>
              <w:t>Non-GAAP research and development</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15,108</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8,949</w:t>
            </w:r>
          </w:p>
        </w:tc>
      </w:tr>
      <w:tr>
        <w:trPr>
          <w:trHeight w:val="20"/>
        </w:trPr>
        <w:tc>
          <w:tcPr>
            <w:tcW w:w="71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129"/>
        </w:trPr>
        <w:tc>
          <w:tcPr>
            <w:tcW w:w="71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r>
      <w:tr>
        <w:trPr>
          <w:trHeight w:val="263"/>
        </w:trPr>
        <w:tc>
          <w:tcPr>
            <w:tcW w:w="7160" w:type="dxa"/>
            <w:vAlign w:val="bottom"/>
          </w:tcPr>
          <w:p>
            <w:pPr>
              <w:ind w:left="20"/>
              <w:spacing w:after="0"/>
              <w:rPr>
                <w:sz w:val="20"/>
                <w:szCs w:val="20"/>
                <w:color w:val="auto"/>
              </w:rPr>
            </w:pPr>
            <w:r>
              <w:rPr>
                <w:rFonts w:ascii="Arial" w:cs="Arial" w:eastAsia="Arial" w:hAnsi="Arial"/>
                <w:sz w:val="18"/>
                <w:szCs w:val="18"/>
                <w:b w:val="1"/>
                <w:bCs w:val="1"/>
                <w:color w:val="auto"/>
              </w:rPr>
              <w:t>General and administrative expense reconciliation:</w:t>
            </w:r>
          </w:p>
        </w:tc>
        <w:tc>
          <w:tcPr>
            <w:tcW w:w="18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237"/>
        </w:trPr>
        <w:tc>
          <w:tcPr>
            <w:tcW w:w="7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GAAP general and administrative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12,420</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5,125</w:t>
            </w:r>
          </w:p>
        </w:tc>
      </w:tr>
      <w:tr>
        <w:trPr>
          <w:trHeight w:val="230"/>
        </w:trPr>
        <w:tc>
          <w:tcPr>
            <w:tcW w:w="716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Stock-based compensation</w:t>
            </w: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(482)</w:t>
            </w:r>
          </w:p>
        </w:tc>
      </w:tr>
      <w:tr>
        <w:trPr>
          <w:trHeight w:val="248"/>
        </w:trPr>
        <w:tc>
          <w:tcPr>
            <w:tcW w:w="7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Non-GAAP general and administrative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9,381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4,643</w:t>
            </w:r>
          </w:p>
        </w:tc>
      </w:tr>
      <w:tr>
        <w:trPr>
          <w:trHeight w:val="20"/>
        </w:trPr>
        <w:tc>
          <w:tcPr>
            <w:tcW w:w="7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r>
        <w:trPr>
          <w:trHeight w:val="109"/>
        </w:trPr>
        <w:tc>
          <w:tcPr>
            <w:tcW w:w="7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60" w:type="dxa"/>
            <w:vAlign w:val="bottom"/>
          </w:tcPr>
          <w:p>
            <w:pPr>
              <w:spacing w:after="0"/>
              <w:rPr>
                <w:sz w:val="9"/>
                <w:szCs w:val="9"/>
                <w:color w:val="auto"/>
              </w:rPr>
            </w:pPr>
          </w:p>
        </w:tc>
      </w:tr>
      <w:tr>
        <w:trPr>
          <w:trHeight w:val="229"/>
        </w:trPr>
        <w:tc>
          <w:tcPr>
            <w:tcW w:w="71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Truck and freight operations expense reconciliation:</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30"/>
        </w:trPr>
        <w:tc>
          <w:tcPr>
            <w:tcW w:w="7160" w:type="dxa"/>
            <w:vAlign w:val="bottom"/>
          </w:tcPr>
          <w:p>
            <w:pPr>
              <w:ind w:left="20"/>
              <w:spacing w:after="0"/>
              <w:rPr>
                <w:sz w:val="20"/>
                <w:szCs w:val="20"/>
                <w:color w:val="auto"/>
              </w:rPr>
            </w:pPr>
            <w:r>
              <w:rPr>
                <w:rFonts w:ascii="Arial" w:cs="Arial" w:eastAsia="Arial" w:hAnsi="Arial"/>
                <w:sz w:val="18"/>
                <w:szCs w:val="18"/>
                <w:color w:val="auto"/>
              </w:rPr>
              <w:t>GAAP truck and freight operations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8,305</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4,005</w:t>
            </w:r>
          </w:p>
        </w:tc>
      </w:tr>
      <w:tr>
        <w:trPr>
          <w:trHeight w:val="229"/>
        </w:trPr>
        <w:tc>
          <w:tcPr>
            <w:tcW w:w="71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Stock-based compensation</w:t>
            </w: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w:t>
            </w:r>
          </w:p>
        </w:tc>
      </w:tr>
      <w:tr>
        <w:trPr>
          <w:trHeight w:val="223"/>
        </w:trPr>
        <w:tc>
          <w:tcPr>
            <w:tcW w:w="7160" w:type="dxa"/>
            <w:vAlign w:val="bottom"/>
          </w:tcPr>
          <w:p>
            <w:pPr>
              <w:ind w:left="20"/>
              <w:spacing w:after="0"/>
              <w:rPr>
                <w:sz w:val="20"/>
                <w:szCs w:val="20"/>
                <w:color w:val="auto"/>
              </w:rPr>
            </w:pPr>
            <w:r>
              <w:rPr>
                <w:rFonts w:ascii="Arial" w:cs="Arial" w:eastAsia="Arial" w:hAnsi="Arial"/>
                <w:sz w:val="18"/>
                <w:szCs w:val="18"/>
                <w:color w:val="auto"/>
              </w:rPr>
              <w:t>Non-GAAP truck and freight operations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8,137</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3,937</w:t>
            </w:r>
          </w:p>
        </w:tc>
      </w:tr>
      <w:tr>
        <w:trPr>
          <w:trHeight w:val="20"/>
        </w:trPr>
        <w:tc>
          <w:tcPr>
            <w:tcW w:w="71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129"/>
        </w:trPr>
        <w:tc>
          <w:tcPr>
            <w:tcW w:w="71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r>
      <w:tr>
        <w:trPr>
          <w:trHeight w:val="230"/>
        </w:trPr>
        <w:tc>
          <w:tcPr>
            <w:tcW w:w="7160" w:type="dxa"/>
            <w:vAlign w:val="bottom"/>
          </w:tcPr>
          <w:p>
            <w:pPr>
              <w:ind w:left="20"/>
              <w:spacing w:after="0"/>
              <w:rPr>
                <w:sz w:val="20"/>
                <w:szCs w:val="20"/>
                <w:color w:val="auto"/>
              </w:rPr>
            </w:pPr>
            <w:r>
              <w:rPr>
                <w:rFonts w:ascii="Arial" w:cs="Arial" w:eastAsia="Arial" w:hAnsi="Arial"/>
                <w:sz w:val="18"/>
                <w:szCs w:val="18"/>
                <w:b w:val="1"/>
                <w:bCs w:val="1"/>
                <w:color w:val="auto"/>
              </w:rPr>
              <w:t>Sales and marketing expense reconciliation:</w:t>
            </w: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7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GAAP sales and marketing</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806</w:t>
            </w:r>
          </w:p>
        </w:tc>
      </w:tr>
      <w:tr>
        <w:trPr>
          <w:trHeight w:val="229"/>
        </w:trPr>
        <w:tc>
          <w:tcPr>
            <w:tcW w:w="716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Stock-based compensation</w:t>
            </w: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w:t>
            </w:r>
          </w:p>
        </w:tc>
      </w:tr>
      <w:tr>
        <w:trPr>
          <w:trHeight w:val="248"/>
        </w:trPr>
        <w:tc>
          <w:tcPr>
            <w:tcW w:w="7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Non-GAAP sales and marketing</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663</w:t>
            </w:r>
          </w:p>
        </w:tc>
      </w:tr>
      <w:tr>
        <w:trPr>
          <w:trHeight w:val="20"/>
        </w:trPr>
        <w:tc>
          <w:tcPr>
            <w:tcW w:w="7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r>
        <w:trPr>
          <w:trHeight w:val="109"/>
        </w:trPr>
        <w:tc>
          <w:tcPr>
            <w:tcW w:w="7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60" w:type="dxa"/>
            <w:vAlign w:val="bottom"/>
          </w:tcPr>
          <w:p>
            <w:pPr>
              <w:spacing w:after="0"/>
              <w:rPr>
                <w:sz w:val="9"/>
                <w:szCs w:val="9"/>
                <w:color w:val="auto"/>
              </w:rPr>
            </w:pPr>
          </w:p>
        </w:tc>
      </w:tr>
      <w:tr>
        <w:trPr>
          <w:trHeight w:val="230"/>
        </w:trPr>
        <w:tc>
          <w:tcPr>
            <w:tcW w:w="71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operating expenses reconciliation:</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30"/>
        </w:trPr>
        <w:tc>
          <w:tcPr>
            <w:tcW w:w="7160" w:type="dxa"/>
            <w:vAlign w:val="bottom"/>
          </w:tcPr>
          <w:p>
            <w:pPr>
              <w:ind w:left="20"/>
              <w:spacing w:after="0"/>
              <w:rPr>
                <w:sz w:val="20"/>
                <w:szCs w:val="20"/>
                <w:color w:val="auto"/>
              </w:rPr>
            </w:pPr>
            <w:r>
              <w:rPr>
                <w:rFonts w:ascii="Arial" w:cs="Arial" w:eastAsia="Arial" w:hAnsi="Arial"/>
                <w:sz w:val="18"/>
                <w:szCs w:val="18"/>
                <w:color w:val="auto"/>
              </w:rPr>
              <w:t>GAAP operating expenses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39,681</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20,070</w:t>
            </w:r>
          </w:p>
        </w:tc>
      </w:tr>
      <w:tr>
        <w:trPr>
          <w:trHeight w:val="229"/>
        </w:trPr>
        <w:tc>
          <w:tcPr>
            <w:tcW w:w="71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Stock-based compensation</w:t>
            </w: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(6,024)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(1,878)</w:t>
            </w:r>
          </w:p>
        </w:tc>
      </w:tr>
      <w:tr>
        <w:trPr>
          <w:trHeight w:val="223"/>
        </w:trPr>
        <w:tc>
          <w:tcPr>
            <w:tcW w:w="7160" w:type="dxa"/>
            <w:vAlign w:val="bottom"/>
          </w:tcPr>
          <w:p>
            <w:pPr>
              <w:ind w:left="20"/>
              <w:spacing w:after="0"/>
              <w:rPr>
                <w:sz w:val="20"/>
                <w:szCs w:val="20"/>
                <w:color w:val="auto"/>
              </w:rPr>
            </w:pPr>
            <w:r>
              <w:rPr>
                <w:rFonts w:ascii="Arial" w:cs="Arial" w:eastAsia="Arial" w:hAnsi="Arial"/>
                <w:sz w:val="18"/>
                <w:szCs w:val="18"/>
                <w:color w:val="auto"/>
              </w:rPr>
              <w:t>Non-GAAP operating expenses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33,657</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18,192</w:t>
            </w:r>
          </w:p>
        </w:tc>
      </w:tr>
      <w:tr>
        <w:trPr>
          <w:trHeight w:val="20"/>
        </w:trPr>
        <w:tc>
          <w:tcPr>
            <w:tcW w:w="71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129"/>
        </w:trPr>
        <w:tc>
          <w:tcPr>
            <w:tcW w:w="71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r>
      <w:tr>
        <w:trPr>
          <w:trHeight w:val="230"/>
        </w:trPr>
        <w:tc>
          <w:tcPr>
            <w:tcW w:w="7160" w:type="dxa"/>
            <w:vAlign w:val="bottom"/>
          </w:tcPr>
          <w:p>
            <w:pPr>
              <w:ind w:left="20"/>
              <w:spacing w:after="0"/>
              <w:rPr>
                <w:sz w:val="20"/>
                <w:szCs w:val="20"/>
                <w:color w:val="auto"/>
              </w:rPr>
            </w:pPr>
            <w:r>
              <w:rPr>
                <w:rFonts w:ascii="Arial" w:cs="Arial" w:eastAsia="Arial" w:hAnsi="Arial"/>
                <w:sz w:val="18"/>
                <w:szCs w:val="18"/>
                <w:b w:val="1"/>
                <w:bCs w:val="1"/>
                <w:color w:val="auto"/>
              </w:rPr>
              <w:t>Loss from operations reconciliation:</w:t>
            </w: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7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GAAP loss from operations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(37,851)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(18,599)</w:t>
            </w:r>
          </w:p>
        </w:tc>
      </w:tr>
      <w:tr>
        <w:trPr>
          <w:trHeight w:val="229"/>
        </w:trPr>
        <w:tc>
          <w:tcPr>
            <w:tcW w:w="716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Stock-based compensation</w:t>
            </w: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6,024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1,878</w:t>
            </w:r>
          </w:p>
        </w:tc>
      </w:tr>
      <w:tr>
        <w:trPr>
          <w:trHeight w:val="248"/>
        </w:trPr>
        <w:tc>
          <w:tcPr>
            <w:tcW w:w="7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Non-GAAP loss from operations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(31,827)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(16,721)</w:t>
            </w:r>
          </w:p>
        </w:tc>
      </w:tr>
      <w:tr>
        <w:trPr>
          <w:trHeight w:val="20"/>
        </w:trPr>
        <w:tc>
          <w:tcPr>
            <w:tcW w:w="7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ectPr>
          <w:pgSz w:w="11900" w:h="16838" w:orient="portrait"/>
          <w:cols w:equalWidth="0" w:num="1">
            <w:col w:w="10280"/>
          </w:cols>
          <w:pgMar w:left="800" w:top="1440" w:right="819" w:bottom="1440" w:gutter="0" w:footer="0" w:header="0"/>
        </w:sectPr>
      </w:pPr>
    </w:p>
    <w:bookmarkStart w:id="65" w:name="page66"/>
    <w:bookmarkEnd w:id="6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Kodiak AI, Inc.</w:t>
      </w:r>
    </w:p>
    <w:p>
      <w:pPr>
        <w:spacing w:after="0" w:line="225" w:lineRule="exact"/>
        <w:rPr>
          <w:sz w:val="20"/>
          <w:szCs w:val="20"/>
          <w:color w:val="auto"/>
        </w:rPr>
      </w:pPr>
    </w:p>
    <w:p>
      <w:pPr>
        <w:ind w:left="4260"/>
        <w:spacing w:after="0"/>
        <w:rPr>
          <w:sz w:val="20"/>
          <w:szCs w:val="20"/>
          <w:color w:val="auto"/>
        </w:rPr>
      </w:pPr>
      <w:r>
        <w:rPr>
          <w:rFonts w:ascii="Arial" w:cs="Arial" w:eastAsia="Arial" w:hAnsi="Arial"/>
          <w:sz w:val="18"/>
          <w:szCs w:val="18"/>
          <w:b w:val="1"/>
          <w:bCs w:val="1"/>
          <w:color w:val="auto"/>
        </w:rPr>
        <w:t>Selected Cash Flow Information</w:t>
      </w:r>
    </w:p>
    <w:p>
      <w:pPr>
        <w:spacing w:after="0" w:line="225"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(In thousands; unaudited)</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6560" w:type="dxa"/>
            <w:vAlign w:val="bottom"/>
            <w:gridSpan w:val="2"/>
          </w:tcPr>
          <w:p>
            <w:pPr>
              <w:spacing w:after="0"/>
              <w:rPr>
                <w:sz w:val="20"/>
                <w:szCs w:val="20"/>
                <w:color w:val="auto"/>
              </w:rPr>
            </w:pPr>
            <w:r>
              <w:rPr>
                <w:rFonts w:ascii="Arial" w:cs="Arial" w:eastAsia="Arial" w:hAnsi="Arial"/>
                <w:sz w:val="18"/>
                <w:szCs w:val="18"/>
                <w:b w:val="1"/>
                <w:bCs w:val="1"/>
                <w:color w:val="auto"/>
              </w:rPr>
              <w:t>Reconciliation of cash provided by operating activities to free cash flow</w:t>
            </w:r>
          </w:p>
        </w:tc>
        <w:tc>
          <w:tcPr>
            <w:tcW w:w="1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495"/>
        </w:trPr>
        <w:tc>
          <w:tcPr>
            <w:tcW w:w="1560" w:type="dxa"/>
            <w:vAlign w:val="bottom"/>
          </w:tcPr>
          <w:p>
            <w:pPr>
              <w:spacing w:after="0"/>
              <w:rPr>
                <w:sz w:val="24"/>
                <w:szCs w:val="24"/>
                <w:color w:val="auto"/>
              </w:rPr>
            </w:pPr>
          </w:p>
        </w:tc>
        <w:tc>
          <w:tcPr>
            <w:tcW w:w="50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4"/>
          </w:tcPr>
          <w:p>
            <w:pPr>
              <w:jc w:val="right"/>
              <w:ind w:right="130"/>
              <w:spacing w:after="0"/>
              <w:rPr>
                <w:sz w:val="20"/>
                <w:szCs w:val="20"/>
                <w:color w:val="auto"/>
              </w:rPr>
            </w:pPr>
            <w:r>
              <w:rPr>
                <w:rFonts w:ascii="Arial" w:cs="Arial" w:eastAsia="Arial" w:hAnsi="Arial"/>
                <w:sz w:val="18"/>
                <w:szCs w:val="18"/>
                <w:b w:val="1"/>
                <w:bCs w:val="1"/>
                <w:color w:val="auto"/>
              </w:rPr>
              <w:t>Three Months Ended March 31,</w:t>
            </w:r>
          </w:p>
        </w:tc>
      </w:tr>
      <w:tr>
        <w:trPr>
          <w:trHeight w:val="263"/>
        </w:trPr>
        <w:tc>
          <w:tcPr>
            <w:tcW w:w="1560" w:type="dxa"/>
            <w:vAlign w:val="bottom"/>
          </w:tcPr>
          <w:p>
            <w:pPr>
              <w:spacing w:after="0"/>
              <w:rPr>
                <w:sz w:val="22"/>
                <w:szCs w:val="22"/>
                <w:color w:val="auto"/>
              </w:rPr>
            </w:pPr>
          </w:p>
        </w:tc>
        <w:tc>
          <w:tcPr>
            <w:tcW w:w="50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2026</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2025</w:t>
            </w:r>
          </w:p>
        </w:tc>
      </w:tr>
      <w:tr>
        <w:trPr>
          <w:trHeight w:val="229"/>
        </w:trPr>
        <w:tc>
          <w:tcPr>
            <w:tcW w:w="1560" w:type="dxa"/>
            <w:vAlign w:val="bottom"/>
          </w:tcPr>
          <w:p>
            <w:pPr>
              <w:spacing w:after="0"/>
              <w:rPr>
                <w:sz w:val="19"/>
                <w:szCs w:val="19"/>
                <w:color w:val="auto"/>
              </w:rPr>
            </w:pPr>
          </w:p>
        </w:tc>
        <w:tc>
          <w:tcPr>
            <w:tcW w:w="5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GAAP net cash used in operating activities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(29,494)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(16,506)</w:t>
            </w:r>
          </w:p>
        </w:tc>
      </w:tr>
      <w:tr>
        <w:trPr>
          <w:trHeight w:val="230"/>
        </w:trPr>
        <w:tc>
          <w:tcPr>
            <w:tcW w:w="1560" w:type="dxa"/>
            <w:vAlign w:val="bottom"/>
          </w:tcPr>
          <w:p>
            <w:pPr>
              <w:spacing w:after="0"/>
              <w:rPr>
                <w:sz w:val="19"/>
                <w:szCs w:val="19"/>
                <w:color w:val="auto"/>
              </w:rPr>
            </w:pPr>
          </w:p>
        </w:tc>
        <w:tc>
          <w:tcPr>
            <w:tcW w:w="500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Purchases of property and equipment</w:t>
            </w: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(5,531)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(2,320)</w:t>
            </w:r>
          </w:p>
        </w:tc>
      </w:tr>
      <w:tr>
        <w:trPr>
          <w:trHeight w:val="248"/>
        </w:trPr>
        <w:tc>
          <w:tcPr>
            <w:tcW w:w="1560" w:type="dxa"/>
            <w:vAlign w:val="bottom"/>
          </w:tcPr>
          <w:p>
            <w:pPr>
              <w:spacing w:after="0"/>
              <w:rPr>
                <w:sz w:val="21"/>
                <w:szCs w:val="21"/>
                <w:color w:val="auto"/>
              </w:rPr>
            </w:pPr>
          </w:p>
        </w:tc>
        <w:tc>
          <w:tcPr>
            <w:tcW w:w="5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Free cash flow</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(35,025)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(18,826)</w:t>
            </w:r>
          </w:p>
        </w:tc>
      </w:tr>
      <w:tr>
        <w:trPr>
          <w:trHeight w:val="20"/>
        </w:trPr>
        <w:tc>
          <w:tcPr>
            <w:tcW w:w="1560" w:type="dxa"/>
            <w:vAlign w:val="bottom"/>
          </w:tcPr>
          <w:p>
            <w:pPr>
              <w:spacing w:after="0" w:line="20" w:lineRule="exact"/>
              <w:rPr>
                <w:sz w:val="1"/>
                <w:szCs w:val="1"/>
                <w:color w:val="auto"/>
              </w:rPr>
            </w:pPr>
          </w:p>
        </w:tc>
        <w:tc>
          <w:tcPr>
            <w:tcW w:w="50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0139"/>
      </w:cols>
      <w:pgMar w:left="32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577F8E1"/>
    <w:multiLevelType w:val="hybridMultilevel"/>
    <w:lvl w:ilvl="0">
      <w:lvlJc w:val="left"/>
      <w:lvlText w:val="%1."/>
      <w:numFmt w:val="decimal"/>
      <w:start w:val="1"/>
    </w:lvl>
  </w:abstractNum>
  <w:abstractNum w:abstractNumId="1">
    <w:nsid w:val="440BADFC"/>
    <w:multiLevelType w:val="hybridMultilevel"/>
    <w:lvl w:ilvl="0">
      <w:lvlJc w:val="left"/>
      <w:lvlText w:val="(%1)"/>
      <w:numFmt w:val="decimal"/>
      <w:start w:val="1"/>
    </w:lvl>
  </w:abstractNum>
  <w:abstractNum w:abstractNumId="2">
    <w:nsid w:val="5072367"/>
    <w:multiLevelType w:val="hybridMultilevel"/>
    <w:lvl w:ilvl="0">
      <w:lvlJc w:val="left"/>
      <w:lvlText w:val="(%1)"/>
      <w:numFmt w:val="upperLetter"/>
      <w:start w:val="2"/>
    </w:lvl>
  </w:abstractNum>
  <w:abstractNum w:abstractNumId="3">
    <w:nsid w:val="3804823E"/>
    <w:multiLevelType w:val="hybridMultilevel"/>
    <w:lvl w:ilvl="0">
      <w:lvlJc w:val="left"/>
      <w:lvlText w:val="%1."/>
      <w:numFmt w:val="decimal"/>
      <w:start w:val="2"/>
    </w:lvl>
    <w:lvl w:ilvl="1">
      <w:lvlJc w:val="left"/>
      <w:lvlText w:val="(%2)"/>
      <w:numFmt w:val="lowerLetter"/>
      <w:start w:val="1"/>
    </w:lvl>
  </w:abstractNum>
  <w:abstractNum w:abstractNumId="4">
    <w:nsid w:val="77465F01"/>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3"/>
    </w:lvl>
  </w:abstractNum>
  <w:abstractNum w:abstractNumId="5">
    <w:nsid w:val="7724C67E"/>
    <w:multiLevelType w:val="hybridMultilevel"/>
    <w:lvl w:ilvl="0">
      <w:lvlJc w:val="left"/>
      <w:lvlText w:val="%1"/>
      <w:numFmt w:val="upperLetter"/>
      <w:start w:val="1"/>
    </w:lvl>
    <w:lvl w:ilvl="1">
      <w:lvlJc w:val="left"/>
      <w:lvlText w:val="%2."/>
      <w:numFmt w:val="decimal"/>
      <w:start w:val="5"/>
    </w:lvl>
    <w:lvl w:ilvl="2">
      <w:lvlJc w:val="left"/>
      <w:lvlText w:val="(%3)"/>
      <w:numFmt w:val="lowerLetter"/>
      <w:start w:val="1"/>
    </w:lvl>
  </w:abstractNum>
  <w:abstractNum w:abstractNumId="6">
    <w:nsid w:val="5C482A97"/>
    <w:multiLevelType w:val="hybridMultilevel"/>
    <w:lvl w:ilvl="0">
      <w:lvlJc w:val="left"/>
      <w:lvlText w:val="(%1)"/>
      <w:numFmt w:val="upperLetter"/>
      <w:start w:val="1"/>
    </w:lvl>
    <w:lvl w:ilvl="1">
      <w:lvlJc w:val="left"/>
      <w:lvlText w:val="%2."/>
      <w:numFmt w:val="decimal"/>
      <w:start w:val="5"/>
    </w:lvl>
    <w:lvl w:ilvl="2">
      <w:lvlJc w:val="left"/>
      <w:lvlText w:val="(%3)"/>
      <w:numFmt w:val="lowerLetter"/>
      <w:start w:val="2"/>
    </w:lvl>
  </w:abstractNum>
  <w:abstractNum w:abstractNumId="7">
    <w:nsid w:val="2463B9EA"/>
    <w:multiLevelType w:val="hybridMultilevel"/>
    <w:lvl w:ilvl="0">
      <w:lvlJc w:val="left"/>
      <w:lvlText w:val="%1."/>
      <w:numFmt w:val="decimal"/>
      <w:start w:val="7"/>
    </w:lvl>
    <w:lvl w:ilvl="1">
      <w:lvlJc w:val="left"/>
      <w:lvlText w:val="(%2)"/>
      <w:numFmt w:val="lowerLetter"/>
      <w:start w:val="1"/>
    </w:lvl>
  </w:abstractNum>
  <w:abstractNum w:abstractNumId="8">
    <w:nsid w:val="5E884ADC"/>
    <w:multiLevelType w:val="hybridMultilevel"/>
    <w:lvl w:ilvl="0">
      <w:lvlJc w:val="left"/>
      <w:lvlText w:val="%1"/>
      <w:numFmt w:val="lowerLetter"/>
      <w:start w:val="1"/>
    </w:lvl>
    <w:lvl w:ilvl="1">
      <w:lvlJc w:val="left"/>
      <w:lvlText w:val="(%2)"/>
      <w:numFmt w:val="lowerLetter"/>
      <w:start w:val="3"/>
    </w:lvl>
    <w:lvl w:ilvl="2">
      <w:lvlJc w:val="left"/>
      <w:lvlText w:val="%3"/>
      <w:numFmt w:val="lowerLetter"/>
      <w:start w:val="1"/>
    </w:lvl>
  </w:abstractNum>
  <w:abstractNum w:abstractNumId="9">
    <w:nsid w:val="51EAD36B"/>
    <w:multiLevelType w:val="hybridMultilevel"/>
    <w:lvl w:ilvl="0">
      <w:lvlJc w:val="left"/>
      <w:lvlText w:val="(%1)"/>
      <w:numFmt w:val="lowerLetter"/>
      <w:start w:val="4"/>
    </w:lvl>
    <w:lvl w:ilvl="1">
      <w:lvlJc w:val="left"/>
      <w:lvlText w:val="%2"/>
      <w:numFmt w:val="lowerLetter"/>
      <w:start w:val="1"/>
    </w:lvl>
    <w:lvl w:ilvl="2">
      <w:lvlJc w:val="left"/>
      <w:lvlText w:val="(%3)"/>
      <w:numFmt w:val="lowerLetter"/>
      <w:start w:val="9"/>
    </w:lvl>
  </w:abstractNum>
  <w:abstractNum w:abstractNumId="10">
    <w:nsid w:val="2D517796"/>
    <w:multiLevelType w:val="hybridMultilevel"/>
    <w:lvl w:ilvl="0">
      <w:lvlJc w:val="left"/>
      <w:lvlText w:val="(%1)"/>
      <w:numFmt w:val="lowerRoman"/>
      <w:start w:val="2"/>
    </w:lvl>
  </w:abstractNum>
  <w:abstractNum w:abstractNumId="11">
    <w:nsid w:val="580BD78F"/>
    <w:multiLevelType w:val="hybridMultilevel"/>
    <w:lvl w:ilvl="0">
      <w:lvlJc w:val="left"/>
      <w:lvlText w:val="(%1)"/>
      <w:numFmt w:val="lowerLetter"/>
      <w:start w:val="5"/>
    </w:lvl>
    <w:lvl w:ilvl="1">
      <w:lvlJc w:val="left"/>
      <w:lvlText w:val="(%2)"/>
      <w:numFmt w:val="lowerRoman"/>
      <w:start w:val="1"/>
    </w:lvl>
    <w:lvl w:ilvl="2">
      <w:lvlJc w:val="left"/>
      <w:lvlText w:val="%3"/>
      <w:numFmt w:val="lowerLetter"/>
      <w:start w:val="1"/>
    </w:lvl>
  </w:abstractNum>
  <w:abstractNum w:abstractNumId="12">
    <w:nsid w:val="153EA438"/>
    <w:multiLevelType w:val="hybridMultilevel"/>
    <w:lvl w:ilvl="0">
      <w:lvlJc w:val="left"/>
      <w:lvlText w:val="%1"/>
      <w:numFmt w:val="lowerRoman"/>
      <w:start w:val="1"/>
    </w:lvl>
    <w:lvl w:ilvl="1">
      <w:lvlJc w:val="left"/>
      <w:lvlText w:val="%2."/>
      <w:numFmt w:val="lowerLetter"/>
      <w:start w:val="2"/>
    </w:lvl>
    <w:lvl w:ilvl="2">
      <w:lvlJc w:val="left"/>
      <w:lvlText w:val="%3"/>
      <w:numFmt w:val="lowerLetter"/>
      <w:start w:val="1"/>
    </w:lvl>
  </w:abstractNum>
  <w:abstractNum w:abstractNumId="13">
    <w:nsid w:val="3855585C"/>
    <w:multiLevelType w:val="hybridMultilevel"/>
    <w:lvl w:ilvl="0">
      <w:lvlJc w:val="left"/>
      <w:lvlText w:val="(%1)"/>
      <w:numFmt w:val="lowerRoman"/>
      <w:start w:val="2"/>
    </w:lvl>
    <w:lvl w:ilvl="1">
      <w:lvlJc w:val="left"/>
      <w:lvlText w:val="%2."/>
      <w:numFmt w:val="lowerLetter"/>
      <w:start w:val="1"/>
    </w:lvl>
    <w:lvl w:ilvl="2">
      <w:lvlJc w:val="left"/>
      <w:lvlText w:val="%3"/>
      <w:numFmt w:val="lowerLetter"/>
      <w:start w:val="1"/>
    </w:lvl>
  </w:abstractNum>
  <w:abstractNum w:abstractNumId="14">
    <w:nsid w:val="70A64E2A"/>
    <w:multiLevelType w:val="hybridMultilevel"/>
    <w:lvl w:ilvl="0">
      <w:lvlJc w:val="left"/>
      <w:lvlText w:val="%1"/>
      <w:numFmt w:val="lowerRoman"/>
      <w:start w:val="1"/>
    </w:lvl>
    <w:lvl w:ilvl="1">
      <w:lvlJc w:val="left"/>
      <w:lvlText w:val="%2."/>
      <w:numFmt w:val="lowerLetter"/>
      <w:start w:val="2"/>
    </w:lvl>
  </w:abstractNum>
  <w:abstractNum w:abstractNumId="15">
    <w:nsid w:val="6A2342EC"/>
    <w:multiLevelType w:val="hybridMultilevel"/>
    <w:lvl w:ilvl="0">
      <w:lvlJc w:val="left"/>
      <w:lvlText w:val="(%1)"/>
      <w:numFmt w:val="lowerRoman"/>
      <w:start w:val="4"/>
    </w:lvl>
    <w:lvl w:ilvl="1">
      <w:lvlJc w:val="left"/>
      <w:lvlText w:val="%2"/>
      <w:numFmt w:val="lowerLetter"/>
      <w:start w:val="1"/>
    </w:lvl>
  </w:abstractNum>
  <w:abstractNum w:abstractNumId="16">
    <w:nsid w:val="2A487CB0"/>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4"/>
    </w:lvl>
  </w:abstractNum>
  <w:abstractNum w:abstractNumId="17">
    <w:nsid w:val="1D4ED43B"/>
    <w:multiLevelType w:val="hybridMultilevel"/>
    <w:lvl w:ilvl="0">
      <w:lvlJc w:val="left"/>
      <w:lvlText w:val="(%1)"/>
      <w:numFmt w:val="lowerLetter"/>
      <w:start w:val="6"/>
    </w:lvl>
    <w:lvl w:ilvl="1">
      <w:lvlJc w:val="left"/>
      <w:lvlText w:val="(%2)"/>
      <w:numFmt w:val="lowerLetter"/>
      <w:start w:val="7"/>
    </w:lvl>
    <w:lvl w:ilvl="2">
      <w:lvlJc w:val="left"/>
      <w:lvlText w:val="%3"/>
      <w:numFmt w:val="lowerRoman"/>
      <w:start w:val="1"/>
    </w:lvl>
  </w:abstractNum>
  <w:abstractNum w:abstractNumId="18">
    <w:nsid w:val="725A06FB"/>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9"/>
    </w:lvl>
    <w:lvl w:ilvl="3">
      <w:lvlJc w:val="left"/>
      <w:lvlText w:val="%4"/>
      <w:numFmt w:val="lowerLetter"/>
      <w:start w:val="1"/>
    </w:lvl>
  </w:abstractNum>
  <w:abstractNum w:abstractNumId="19">
    <w:nsid w:val="2CD89A32"/>
    <w:multiLevelType w:val="hybridMultilevel"/>
    <w:lvl w:ilvl="0">
      <w:lvlJc w:val="left"/>
      <w:lvlText w:val="(%1)"/>
      <w:numFmt w:val="lowerLetter"/>
      <w:start w:val="25"/>
    </w:lvl>
    <w:lvl w:ilvl="1">
      <w:lvlJc w:val="left"/>
      <w:lvlText w:val="%2."/>
      <w:numFmt w:val="decimal"/>
      <w:start w:val="9"/>
    </w:lvl>
    <w:lvl w:ilvl="2">
      <w:lvlJc w:val="left"/>
      <w:lvlText w:val="%3"/>
      <w:numFmt w:val="lowerLetter"/>
      <w:start w:val="1"/>
    </w:lvl>
    <w:lvl w:ilvl="3">
      <w:lvlJc w:val="left"/>
      <w:lvlText w:val="(%4)"/>
      <w:numFmt w:val="lowerLetter"/>
      <w:start w:val="10"/>
    </w:lvl>
  </w:abstractNum>
  <w:abstractNum w:abstractNumId="20">
    <w:nsid w:val="57E4CCAF"/>
    <w:multiLevelType w:val="hybridMultilevel"/>
    <w:lvl w:ilvl="0">
      <w:lvlJc w:val="left"/>
      <w:lvlText w:val="%1."/>
      <w:numFmt w:val="decimal"/>
      <w:start w:val="11"/>
    </w:lvl>
    <w:lvl w:ilvl="1">
      <w:lvlJc w:val="left"/>
      <w:lvlText w:val="(%2)"/>
      <w:numFmt w:val="lowerLetter"/>
      <w:start w:val="1"/>
    </w:lvl>
  </w:abstractNum>
  <w:abstractNum w:abstractNumId="21">
    <w:nsid w:val="7A6D8D3C"/>
    <w:multiLevelType w:val="hybridMultilevel"/>
    <w:lvl w:ilvl="0">
      <w:lvlJc w:val="left"/>
      <w:lvlText w:val="%1."/>
      <w:numFmt w:val="decimal"/>
      <w:start w:val="12"/>
    </w:lvl>
    <w:lvl w:ilvl="1">
      <w:lvlJc w:val="left"/>
      <w:lvlText w:val="(%2)"/>
      <w:numFmt w:val="lowerLetter"/>
      <w:start w:val="1"/>
    </w:lvl>
  </w:abstractNum>
  <w:abstractNum w:abstractNumId="22">
    <w:nsid w:val="4B588F54"/>
    <w:multiLevelType w:val="hybridMultilevel"/>
    <w:lvl w:ilvl="0">
      <w:lvlJc w:val="left"/>
      <w:lvlText w:val="%1"/>
      <w:numFmt w:val="lowerLetter"/>
      <w:start w:val="1"/>
    </w:lvl>
    <w:lvl w:ilvl="1">
      <w:lvlJc w:val="left"/>
      <w:lvlText w:val="(%2)"/>
      <w:numFmt w:val="lowerLetter"/>
      <w:start w:val="2"/>
    </w:lvl>
  </w:abstractNum>
  <w:abstractNum w:abstractNumId="23">
    <w:nsid w:val="542289EC"/>
    <w:multiLevelType w:val="hybridMultilevel"/>
    <w:lvl w:ilvl="0">
      <w:lvlJc w:val="left"/>
      <w:lvlText w:val="(%1)"/>
      <w:numFmt w:val="lowerLetter"/>
      <w:start w:val="6"/>
    </w:lvl>
    <w:lvl w:ilvl="1">
      <w:lvlJc w:val="left"/>
      <w:lvlText w:val="%2"/>
      <w:numFmt w:val="lowerLetter"/>
      <w:start w:val="1"/>
    </w:lvl>
  </w:abstractNum>
  <w:abstractNum w:abstractNumId="24">
    <w:nsid w:val="6DE91B18"/>
    <w:multiLevelType w:val="hybridMultilevel"/>
    <w:lvl w:ilvl="0">
      <w:lvlJc w:val="left"/>
      <w:lvlText w:val="(%1)"/>
      <w:numFmt w:val="lowerLetter"/>
      <w:start w:val="7"/>
    </w:lvl>
  </w:abstractNum>
  <w:abstractNum w:abstractNumId="25">
    <w:nsid w:val="38437FDB"/>
    <w:multiLevelType w:val="hybridMultilevel"/>
    <w:lvl w:ilvl="0">
      <w:lvlJc w:val="left"/>
      <w:lvlText w:val="(%1)"/>
      <w:numFmt w:val="decimal"/>
      <w:start w:val="1"/>
    </w:lvl>
    <w:lvl w:ilvl="1">
      <w:lvlJc w:val="left"/>
      <w:lvlText w:val="☐"/>
      <w:numFmt w:val="bullet"/>
      <w:start w:val="1"/>
    </w:lvl>
    <w:lvl w:ilvl="2">
      <w:lvlJc w:val="left"/>
      <w:lvlText w:val="☐"/>
      <w:numFmt w:val="bullet"/>
      <w:start w:val="1"/>
    </w:lvl>
  </w:abstractNum>
  <w:abstractNum w:abstractNumId="26">
    <w:nsid w:val="7644A45C"/>
    <w:multiLevelType w:val="hybridMultilevel"/>
    <w:lvl w:ilvl="0">
      <w:lvlJc w:val="left"/>
      <w:lvlText w:val="%1."/>
      <w:numFmt w:val="decimal"/>
      <w:start w:val="1"/>
    </w:lvl>
    <w:lvl w:ilvl="1">
      <w:lvlJc w:val="left"/>
      <w:lvlText w:val="%2."/>
      <w:numFmt w:val="lowerLetter"/>
      <w:start w:val="1"/>
    </w:lvl>
  </w:abstractNum>
  <w:abstractNum w:abstractNumId="27">
    <w:nsid w:val="32FFF902"/>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28">
    <w:nsid w:val="684A481A"/>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29">
    <w:nsid w:val="579478FE"/>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3"/>
    </w:lvl>
  </w:abstractNum>
  <w:abstractNum w:abstractNumId="30">
    <w:nsid w:val="749ABB43"/>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31">
    <w:nsid w:val="3DC240FB"/>
    <w:multiLevelType w:val="hybridMultilevel"/>
    <w:lvl w:ilvl="0">
      <w:lvlJc w:val="left"/>
      <w:lvlText w:val="%1."/>
      <w:numFmt w:val="lowerLetter"/>
      <w:start w:val="4"/>
    </w:lvl>
  </w:abstractNum>
  <w:abstractNum w:abstractNumId="32">
    <w:nsid w:val="1BA026FA"/>
    <w:multiLevelType w:val="hybridMultilevel"/>
    <w:lvl w:ilvl="0">
      <w:lvlJc w:val="left"/>
      <w:lvlText w:val="%1."/>
      <w:numFmt w:val="lowerLetter"/>
      <w:start w:val="7"/>
    </w:lvl>
  </w:abstractNum>
  <w:abstractNum w:abstractNumId="33">
    <w:nsid w:val="79A1DEAA"/>
    <w:multiLevelType w:val="hybridMultilevel"/>
    <w:lvl w:ilvl="0">
      <w:lvlJc w:val="left"/>
      <w:lvlText w:val="%1."/>
      <w:numFmt w:val="lowerLetter"/>
      <w:start w:val="12"/>
    </w:lvl>
  </w:abstractNum>
  <w:abstractNum w:abstractNumId="34">
    <w:nsid w:val="75C6C33A"/>
    <w:multiLevelType w:val="hybridMultilevel"/>
    <w:lvl w:ilvl="0">
      <w:lvlJc w:val="left"/>
      <w:lvlText w:val="%1."/>
      <w:numFmt w:val="lowerLetter"/>
      <w:start w:val="18"/>
    </w:lvl>
  </w:abstractNum>
  <w:abstractNum w:abstractNumId="35">
    <w:nsid w:val="12E685FB"/>
    <w:multiLevelType w:val="hybridMultilevel"/>
    <w:lvl w:ilvl="0">
      <w:lvlJc w:val="left"/>
      <w:lvlText w:val="%1."/>
      <w:numFmt w:val="lowerLetter"/>
      <w:start w:val="23"/>
    </w:lvl>
  </w:abstractNum>
  <w:abstractNum w:abstractNumId="36">
    <w:nsid w:val="70C6A529"/>
    <w:multiLevelType w:val="hybridMultilevel"/>
    <w:lvl w:ilvl="0">
      <w:lvlJc w:val="left"/>
      <w:lvlText w:val="%1."/>
      <w:numFmt w:val="decimal"/>
      <w:start w:val="6"/>
    </w:lvl>
    <w:lvl w:ilvl="1">
      <w:lvlJc w:val="left"/>
      <w:lvlText w:val="%2."/>
      <w:numFmt w:val="lowerLetter"/>
      <w:start w:val="1"/>
    </w:lvl>
  </w:abstractNum>
  <w:abstractNum w:abstractNumId="37">
    <w:nsid w:val="520EEDD1"/>
    <w:multiLevelType w:val="hybridMultilevel"/>
    <w:lvl w:ilvl="0">
      <w:lvlJc w:val="left"/>
      <w:lvlText w:val="%1."/>
      <w:numFmt w:val="lowerLetter"/>
      <w:start w:val="5"/>
    </w:lvl>
  </w:abstractNum>
  <w:abstractNum w:abstractNumId="38">
    <w:nsid w:val="374A3FE6"/>
    <w:multiLevelType w:val="hybridMultilevel"/>
    <w:lvl w:ilvl="0">
      <w:lvlJc w:val="left"/>
      <w:lvlText w:val="%1"/>
      <w:numFmt w:val="lowerRoman"/>
      <w:start w:val="1"/>
    </w:lvl>
    <w:lvl w:ilvl="1">
      <w:lvlJc w:val="left"/>
      <w:lvlText w:val="%2."/>
      <w:numFmt w:val="lowerLetter"/>
      <w:start w:val="9"/>
    </w:lvl>
  </w:abstractNum>
  <w:abstractNum w:abstractNumId="39">
    <w:nsid w:val="4F4EF005"/>
    <w:multiLevelType w:val="hybridMultilevel"/>
    <w:lvl w:ilvl="0">
      <w:lvlJc w:val="left"/>
      <w:lvlText w:val="(%1)"/>
      <w:numFmt w:val="lowerRoman"/>
      <w:start w:val="1"/>
    </w:lvl>
    <w:lvl w:ilvl="1">
      <w:lvlJc w:val="left"/>
      <w:lvlText w:val="%2."/>
      <w:numFmt w:val="lowerLetter"/>
      <w:start w:val="12"/>
    </w:lvl>
  </w:abstractNum>
  <w:abstractNum w:abstractNumId="40">
    <w:nsid w:val="23F9C13C"/>
    <w:multiLevelType w:val="hybridMultilevel"/>
    <w:lvl w:ilvl="0">
      <w:lvlJc w:val="left"/>
      <w:lvlText w:val="(%1)"/>
      <w:numFmt w:val="lowerRoman"/>
      <w:start w:val="2"/>
    </w:lvl>
    <w:lvl w:ilvl="1">
      <w:lvlJc w:val="left"/>
      <w:lvlText w:val="%2."/>
      <w:numFmt w:val="lowerLetter"/>
      <w:start w:val="13"/>
    </w:lvl>
  </w:abstractNum>
  <w:abstractNum w:abstractNumId="41">
    <w:nsid w:val="649BB77C"/>
    <w:multiLevelType w:val="hybridMultilevel"/>
    <w:lvl w:ilvl="0">
      <w:lvlJc w:val="left"/>
      <w:lvlText w:val="%1."/>
      <w:numFmt w:val="lowerLetter"/>
      <w:start w:val="17"/>
    </w:lvl>
  </w:abstractNum>
  <w:abstractNum w:abstractNumId="42">
    <w:nsid w:val="275AC794"/>
    <w:multiLevelType w:val="hybridMultilevel"/>
    <w:lvl w:ilvl="0">
      <w:lvlJc w:val="left"/>
      <w:lvlText w:val="%1"/>
      <w:numFmt w:val="decimal"/>
      <w:start w:val="1"/>
    </w:lvl>
    <w:lvl w:ilvl="1">
      <w:lvlJc w:val="left"/>
      <w:lvlText w:val="%2."/>
      <w:numFmt w:val="lowerLetter"/>
      <w:start w:val="23"/>
    </w:lvl>
  </w:abstractNum>
  <w:abstractNum w:abstractNumId="43">
    <w:nsid w:val="39386575"/>
    <w:multiLevelType w:val="hybridMultilevel"/>
    <w:lvl w:ilvl="0">
      <w:lvlJc w:val="left"/>
      <w:lvlText w:val="%1."/>
      <w:numFmt w:val="decimal"/>
      <w:start w:val="7"/>
    </w:lvl>
    <w:lvl w:ilvl="1">
      <w:lvlJc w:val="left"/>
      <w:lvlText w:val="%2."/>
      <w:numFmt w:val="lowerLetter"/>
      <w:start w:val="1"/>
    </w:lvl>
  </w:abstractNum>
  <w:abstractNum w:abstractNumId="44">
    <w:nsid w:val="1CF10FD8"/>
    <w:multiLevelType w:val="hybridMultilevel"/>
    <w:lvl w:ilvl="0">
      <w:lvlJc w:val="left"/>
      <w:lvlText w:val="%1."/>
      <w:numFmt w:val="lowerLetter"/>
      <w:start w:val="2"/>
    </w:lvl>
  </w:abstractNum>
  <w:abstractNum w:abstractNumId="45">
    <w:nsid w:val="180115BE"/>
    <w:multiLevelType w:val="hybridMultilevel"/>
    <w:lvl w:ilvl="0">
      <w:lvlJc w:val="left"/>
      <w:lvlText w:val="%1."/>
      <w:numFmt w:val="lowerLetter"/>
      <w:start w:val="6"/>
    </w:lvl>
    <w:lvl w:ilvl="1">
      <w:lvlJc w:val="left"/>
      <w:lvlText w:val="(%2)"/>
      <w:numFmt w:val="lowerRoman"/>
      <w:start w:val="1"/>
    </w:lvl>
  </w:abstractNum>
  <w:abstractNum w:abstractNumId="46">
    <w:nsid w:val="235BA861"/>
    <w:multiLevelType w:val="hybridMultilevel"/>
    <w:lvl w:ilvl="0">
      <w:lvlJc w:val="left"/>
      <w:lvlText w:val="%1."/>
      <w:numFmt w:val="lowerLetter"/>
      <w:start w:val="8"/>
    </w:lvl>
  </w:abstractNum>
  <w:abstractNum w:abstractNumId="47">
    <w:nsid w:val="47398C89"/>
    <w:multiLevelType w:val="hybridMultilevel"/>
    <w:lvl w:ilvl="0">
      <w:lvlJc w:val="left"/>
      <w:lvlText w:val="%1"/>
      <w:numFmt w:val="decimal"/>
      <w:start w:val="1"/>
    </w:lvl>
    <w:lvl w:ilvl="1">
      <w:lvlJc w:val="left"/>
      <w:lvlText w:val="%2."/>
      <w:numFmt w:val="lowerLetter"/>
      <w:start w:val="10"/>
    </w:lvl>
  </w:abstractNum>
  <w:abstractNum w:abstractNumId="48">
    <w:nsid w:val="354FE9F9"/>
    <w:multiLevelType w:val="hybridMultilevel"/>
    <w:lvl w:ilvl="0">
      <w:lvlJc w:val="left"/>
      <w:lvlText w:val="%1."/>
      <w:numFmt w:val="decimal"/>
      <w:start w:val="8"/>
    </w:lvl>
    <w:lvl w:ilvl="1">
      <w:lvlJc w:val="left"/>
      <w:lvlText w:val="%2."/>
      <w:numFmt w:val="lowerLetter"/>
      <w:start w:val="1"/>
    </w:lvl>
  </w:abstractNum>
  <w:abstractNum w:abstractNumId="49">
    <w:nsid w:val="15B5AF5C"/>
    <w:multiLevelType w:val="hybridMultilevel"/>
    <w:lvl w:ilvl="0">
      <w:lvlJc w:val="left"/>
      <w:lvlText w:val="%1."/>
      <w:numFmt w:val="lowerLetter"/>
      <w:start w:val="2"/>
    </w:lvl>
  </w:abstractNum>
  <w:abstractNum w:abstractNumId="50">
    <w:nsid w:val="741226BB"/>
    <w:multiLevelType w:val="hybridMultilevel"/>
    <w:lvl w:ilvl="0">
      <w:lvlJc w:val="left"/>
      <w:lvlText w:val="%1."/>
      <w:numFmt w:val="lowerLetter"/>
      <w:start w:val="5"/>
    </w:lvl>
  </w:abstractNum>
  <w:abstractNum w:abstractNumId="51">
    <w:nsid w:val="D34B6A8"/>
    <w:multiLevelType w:val="hybridMultilevel"/>
    <w:lvl w:ilvl="0">
      <w:lvlJc w:val="left"/>
      <w:lvlText w:val="%1."/>
      <w:numFmt w:val="lowerLetter"/>
      <w:start w:val="10"/>
    </w:lvl>
  </w:abstractNum>
  <w:abstractNum w:abstractNumId="52">
    <w:nsid w:val="10233C99"/>
    <w:multiLevelType w:val="hybridMultilevel"/>
    <w:lvl w:ilvl="0">
      <w:lvlJc w:val="left"/>
      <w:lvlText w:val="%1"/>
      <w:numFmt w:val="lowerRoman"/>
      <w:start w:val="1"/>
    </w:lvl>
    <w:lvl w:ilvl="1">
      <w:lvlJc w:val="left"/>
      <w:lvlText w:val="%2"/>
      <w:numFmt w:val="decimal"/>
      <w:start w:val="1"/>
    </w:lvl>
    <w:lvl w:ilvl="2">
      <w:lvlJc w:val="left"/>
      <w:lvlText w:val="%3."/>
      <w:numFmt w:val="lowerLetter"/>
      <w:start w:val="13"/>
    </w:lvl>
  </w:abstractNum>
  <w:abstractNum w:abstractNumId="53">
    <w:nsid w:val="3F6AB60F"/>
    <w:multiLevelType w:val="hybridMultilevel"/>
    <w:lvl w:ilvl="0">
      <w:lvlJc w:val="left"/>
      <w:lvlText w:val="%1"/>
      <w:numFmt w:val="lowerRoman"/>
      <w:start w:val="1"/>
    </w:lvl>
    <w:lvl w:ilvl="1">
      <w:lvlJc w:val="left"/>
      <w:lvlText w:val="%2."/>
      <w:numFmt w:val="decimal"/>
      <w:start w:val="10"/>
    </w:lvl>
    <w:lvl w:ilvl="2">
      <w:lvlJc w:val="left"/>
      <w:lvlText w:val="%3"/>
      <w:numFmt w:val="lowerLetter"/>
      <w:start w:val="1"/>
    </w:lvl>
  </w:abstractNum>
  <w:abstractNum w:abstractNumId="54">
    <w:nsid w:val="61574095"/>
    <w:multiLevelType w:val="hybridMultilevel"/>
    <w:lvl w:ilvl="0">
      <w:lvlJc w:val="left"/>
      <w:lvlText w:val="(%1)"/>
      <w:numFmt w:val="lowerRoman"/>
      <w:start w:val="1"/>
    </w:lvl>
    <w:lvl w:ilvl="1">
      <w:lvlJc w:val="left"/>
      <w:lvlText w:val="%2"/>
      <w:numFmt w:val="decimal"/>
      <w:start w:val="1"/>
    </w:lvl>
    <w:lvl w:ilvl="2">
      <w:lvlJc w:val="left"/>
      <w:lvlText w:val="%3"/>
      <w:numFmt w:val="lowerLetter"/>
      <w:start w:val="1"/>
    </w:lvl>
  </w:abstractNum>
  <w:abstractNum w:abstractNumId="55">
    <w:nsid w:val="7E0C57B1"/>
    <w:multiLevelType w:val="hybridMultilevel"/>
    <w:lvl w:ilvl="0">
      <w:lvlJc w:val="left"/>
      <w:lvlText w:val="(%1)"/>
      <w:numFmt w:val="lowerRoman"/>
      <w:start w:val="2"/>
    </w:lvl>
    <w:lvl w:ilvl="1">
      <w:lvlJc w:val="left"/>
      <w:lvlText w:val="%2."/>
      <w:numFmt w:val="decimal"/>
      <w:start w:val="13"/>
    </w:lvl>
  </w:abstractNum>
  <w:abstractNum w:abstractNumId="56">
    <w:nsid w:val="77AE35EB"/>
    <w:multiLevelType w:val="hybridMultilevel"/>
    <w:lvl w:ilvl="0">
      <w:lvlJc w:val="left"/>
      <w:lvlText w:val="%1."/>
      <w:numFmt w:val="decimal"/>
      <w:start w:val="14"/>
    </w:lvl>
    <w:lvl w:ilvl="1">
      <w:lvlJc w:val="left"/>
      <w:lvlText w:val="%2."/>
      <w:numFmt w:val="lowerLetter"/>
      <w:start w:val="1"/>
    </w:lvl>
  </w:abstractNum>
  <w:abstractNum w:abstractNumId="57">
    <w:nsid w:val="579BE4F1"/>
    <w:multiLevelType w:val="hybridMultilevel"/>
    <w:lvl w:ilvl="0">
      <w:lvlJc w:val="left"/>
      <w:lvlText w:val="%1"/>
      <w:numFmt w:val="decimal"/>
      <w:start w:val="1"/>
    </w:lvl>
    <w:lvl w:ilvl="1">
      <w:lvlJc w:val="left"/>
      <w:lvlText w:val="%2."/>
      <w:numFmt w:val="lowerLetter"/>
      <w:start w:val="5"/>
    </w:lvl>
  </w:abstractNum>
  <w:abstractNum w:abstractNumId="58">
    <w:nsid w:val="310C50B3"/>
    <w:multiLevelType w:val="hybridMultilevel"/>
    <w:lvl w:ilvl="0">
      <w:lvlJc w:val="left"/>
      <w:lvlText w:val="%1."/>
      <w:numFmt w:val="decimal"/>
      <w:start w:val="15"/>
    </w:lvl>
    <w:lvl w:ilvl="1">
      <w:lvlJc w:val="left"/>
      <w:lvlText w:val="%2"/>
      <w:numFmt w:val="lowerLetter"/>
      <w:start w:val="1"/>
    </w:lvl>
  </w:abstractNum>
  <w:abstractNum w:abstractNumId="59">
    <w:nsid w:val="5FF87E05"/>
    <w:multiLevelType w:val="hybridMultilevel"/>
    <w:lvl w:ilvl="0">
      <w:lvlJc w:val="left"/>
      <w:lvlText w:val="☐"/>
      <w:numFmt w:val="bullet"/>
      <w:start w:val="1"/>
    </w:lvl>
  </w:abstractNum>
  <w:abstractNum w:abstractNumId="60">
    <w:nsid w:val="2F305DEF"/>
    <w:multiLevelType w:val="hybridMultilevel"/>
    <w:lvl w:ilvl="0">
      <w:lvlJc w:val="left"/>
      <w:lvlText w:val="%1."/>
      <w:numFmt w:val="upperLetter"/>
      <w:start w:val="1"/>
    </w:lvl>
  </w:abstractNum>
  <w:abstractNum w:abstractNumId="61">
    <w:nsid w:val="25A70BF7"/>
    <w:multiLevelType w:val="hybridMultilevel"/>
    <w:lvl w:ilvl="0">
      <w:lvlJc w:val="left"/>
      <w:lvlText w:val="%1."/>
      <w:numFmt w:val="upperLetter"/>
      <w:start w:val="1"/>
    </w:lvl>
    <w:lvl w:ilvl="1">
      <w:lvlJc w:val="left"/>
      <w:lvlText w:val="☐"/>
      <w:numFmt w:val="bullet"/>
      <w:start w:val="1"/>
    </w:lvl>
    <w:lvl w:ilvl="2">
      <w:lvlJc w:val="left"/>
      <w:lvlText w:val="☐"/>
      <w:numFmt w:val="bullet"/>
      <w:start w:val="1"/>
    </w:lvl>
  </w:abstractNum>
  <w:abstractNum w:abstractNumId="62">
    <w:nsid w:val="1DBABF00"/>
    <w:multiLevelType w:val="hybridMultilevel"/>
    <w:lvl w:ilvl="0">
      <w:lvlJc w:val="left"/>
      <w:lvlText w:val="☐"/>
      <w:numFmt w:val="bullet"/>
      <w:start w:val="1"/>
    </w:lvl>
  </w:abstractNum>
  <w:abstractNum w:abstractNumId="63">
    <w:nsid w:val="4AD084E9"/>
    <w:multiLevelType w:val="hybridMultilevel"/>
    <w:lvl w:ilvl="0">
      <w:lvlJc w:val="left"/>
      <w:lvlText w:val="%1."/>
      <w:numFmt w:val="upperLetter"/>
      <w:start w:val="2"/>
    </w:lvl>
    <w:lvl w:ilvl="1">
      <w:lvlJc w:val="left"/>
      <w:lvlText w:val="☐"/>
      <w:numFmt w:val="bullet"/>
      <w:start w:val="1"/>
    </w:lvl>
  </w:abstractNum>
  <w:abstractNum w:abstractNumId="64">
    <w:nsid w:val="1F48EAA1"/>
    <w:multiLevelType w:val="hybridMultilevel"/>
    <w:lvl w:ilvl="0">
      <w:lvlJc w:val="left"/>
      <w:lvlText w:val="%1"/>
      <w:numFmt w:val="decimal"/>
      <w:start w:val="1"/>
    </w:lvl>
    <w:lvl w:ilvl="1">
      <w:lvlJc w:val="left"/>
      <w:lvlText w:val="%2."/>
      <w:numFmt w:val="decimal"/>
      <w:start w:val="1"/>
    </w:lvl>
  </w:abstractNum>
  <w:abstractNum w:abstractNumId="65">
    <w:nsid w:val="1381823A"/>
    <w:multiLevelType w:val="hybridMultilevel"/>
    <w:lvl w:ilvl="0">
      <w:lvlJc w:val="left"/>
      <w:lvlText w:val="%1."/>
      <w:numFmt w:val="decimal"/>
      <w:start w:val="2"/>
    </w:lvl>
    <w:lvl w:ilvl="1">
      <w:lvlJc w:val="left"/>
      <w:lvlText w:val="%2."/>
      <w:numFmt w:val="decimal"/>
      <w:start w:val="3"/>
    </w:lvl>
  </w:abstractNum>
  <w:abstractNum w:abstractNumId="66">
    <w:nsid w:val="5DB70AE5"/>
    <w:multiLevelType w:val="hybridMultilevel"/>
    <w:lvl w:ilvl="0">
      <w:lvlJc w:val="left"/>
      <w:lvlText w:val="•"/>
      <w:numFmt w:val="bullet"/>
      <w:start w:val="1"/>
    </w:lvl>
  </w:abstractNum>
  <w:abstractNum w:abstractNumId="67">
    <w:nsid w:val="100F8FCA"/>
    <w:multiLevelType w:val="hybridMultilevel"/>
    <w:lvl w:ilvl="0">
      <w:lvlJc w:val="left"/>
      <w:lvlText w:val="•"/>
      <w:numFmt w:val="bullet"/>
      <w:start w:val="1"/>
    </w:lvl>
  </w:abstractNum>
  <w:abstractNum w:abstractNumId="68">
    <w:nsid w:val="6590700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2026-05-07T15:21:20Z</dcterms:created>
  <dcterms:modified xsi:type="dcterms:W3CDTF">2026-05-07T15:21:20Z</dcterms:modified>
</cp:coreProperties>
</file>