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PROSPECTUS SUPPLEMENT NO. 3</w:t>
      </w:r>
    </w:p>
    <w:p>
      <w:pPr>
        <w:spacing w:after="0" w:line="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 Prospectus dated March 16, 2026)</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333-290832</w:t>
      </w:r>
    </w:p>
    <w:p>
      <w:pPr>
        <w:spacing w:after="0" w:line="200" w:lineRule="exact"/>
        <w:rPr>
          <w:sz w:val="24"/>
          <w:szCs w:val="24"/>
          <w:color w:val="auto"/>
        </w:rPr>
      </w:pPr>
    </w:p>
    <w:p>
      <w:pPr>
        <w:sectPr>
          <w:pgSz w:w="11900" w:h="16838" w:orient="portrait"/>
          <w:cols w:equalWidth="0" w:num="2">
            <w:col w:w="8020" w:space="720"/>
            <w:col w:w="2500"/>
          </w:cols>
          <w:pgMar w:left="320" w:top="1440" w:right="339" w:bottom="1440" w:gutter="0" w:footer="0" w:header="0"/>
        </w:sectPr>
      </w:pP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Kodiak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138430</wp:posOffset>
            </wp:positionV>
            <wp:extent cx="48895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March 16, 2026 (as supplemented from time to time, the “Prospectus”) filed by Kodiak AI, Inc. (the “Company”) with the information contained in the Company’s Current Report on Form 8-K, filed with the SEC on June 15, 2026 (the “Form 8-K”). Accordingly, we have attached the Form 8-K to this prospectus supplement.</w:t>
      </w:r>
    </w:p>
    <w:p>
      <w:pPr>
        <w:spacing w:after="0" w:line="122"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26" w:lineRule="exact"/>
        <w:rPr>
          <w:sz w:val="24"/>
          <w:szCs w:val="24"/>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Our common stock and public warrants are listed on The Nasdaq Stock Market LLC (the “Nasdaq”) under the symbols “KDK” and “KDKRW,” respectively. On June 12, 2026, the last reported sales prices for our common stock and public warrants on the Nasdaq were $6.14 and $0.95, respectively.</w:t>
      </w:r>
    </w:p>
    <w:p>
      <w:pPr>
        <w:spacing w:after="0" w:line="82"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may elect to comply with certain reduced public company reporting requirements.</w:t>
      </w:r>
    </w:p>
    <w:p>
      <w:pPr>
        <w:spacing w:after="0" w:line="105" w:lineRule="exact"/>
        <w:rPr>
          <w:sz w:val="24"/>
          <w:szCs w:val="24"/>
          <w:color w:val="auto"/>
        </w:rPr>
      </w:pPr>
    </w:p>
    <w:p>
      <w:pPr>
        <w:ind w:right="620"/>
        <w:spacing w:after="0" w:line="275"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 12 of the Prospectus.</w:t>
      </w:r>
    </w:p>
    <w:p>
      <w:pPr>
        <w:spacing w:after="0" w:line="91"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15, 2026</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11, 2026</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Kodiak AI,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gridSpan w:val="3"/>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0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001-41691</w:t>
            </w: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98-1592112</w:t>
            </w:r>
          </w:p>
        </w:tc>
        <w:tc>
          <w:tcPr>
            <w:tcW w:w="20" w:type="dxa"/>
            <w:vAlign w:val="bottom"/>
          </w:tcPr>
          <w:p>
            <w:pPr>
              <w:spacing w:after="0"/>
              <w:rPr>
                <w:sz w:val="18"/>
                <w:szCs w:val="18"/>
                <w:color w:val="auto"/>
              </w:rPr>
            </w:pPr>
          </w:p>
        </w:tc>
      </w:tr>
      <w:tr>
        <w:trPr>
          <w:trHeight w:val="158"/>
        </w:trPr>
        <w:tc>
          <w:tcPr>
            <w:tcW w:w="36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3"/>
          </w:tcPr>
          <w:p>
            <w:pPr>
              <w:jc w:val="center"/>
              <w:ind w:right="880"/>
              <w:spacing w:after="0" w:line="158" w:lineRule="exact"/>
              <w:rPr>
                <w:sz w:val="20"/>
                <w:szCs w:val="20"/>
                <w:color w:val="auto"/>
              </w:rPr>
            </w:pPr>
            <w:r>
              <w:rPr>
                <w:rFonts w:ascii="Times New Roman" w:cs="Times New Roman" w:eastAsia="Times New Roman" w:hAnsi="Times New Roman"/>
                <w:sz w:val="16"/>
                <w:szCs w:val="16"/>
                <w:b w:val="1"/>
                <w:bCs w:val="1"/>
                <w:color w:val="auto"/>
              </w:rPr>
              <w:t>(Commission File Number)</w:t>
            </w:r>
          </w:p>
        </w:tc>
        <w:tc>
          <w:tcPr>
            <w:tcW w:w="80" w:type="dxa"/>
            <w:vAlign w:val="bottom"/>
          </w:tcPr>
          <w:p>
            <w:pPr>
              <w:spacing w:after="0"/>
              <w:rPr>
                <w:sz w:val="13"/>
                <w:szCs w:val="13"/>
                <w:color w:val="auto"/>
              </w:rPr>
            </w:pPr>
          </w:p>
        </w:tc>
        <w:tc>
          <w:tcPr>
            <w:tcW w:w="37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20" w:type="dxa"/>
            <w:vAlign w:val="bottom"/>
          </w:tcPr>
          <w:p>
            <w:pPr>
              <w:spacing w:after="0"/>
              <w:rPr>
                <w:sz w:val="13"/>
                <w:szCs w:val="13"/>
                <w:color w:val="auto"/>
              </w:rPr>
            </w:pPr>
          </w:p>
        </w:tc>
      </w:tr>
      <w:tr>
        <w:trPr>
          <w:trHeight w:val="212"/>
        </w:trPr>
        <w:tc>
          <w:tcPr>
            <w:tcW w:w="4640" w:type="dxa"/>
            <w:vAlign w:val="bottom"/>
            <w:gridSpan w:val="3"/>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c>
          <w:tcPr>
            <w:tcW w:w="20" w:type="dxa"/>
            <w:vAlign w:val="bottom"/>
          </w:tcPr>
          <w:p>
            <w:pPr>
              <w:spacing w:after="0"/>
              <w:rPr>
                <w:sz w:val="18"/>
                <w:szCs w:val="18"/>
                <w:color w:val="auto"/>
              </w:rPr>
            </w:pPr>
          </w:p>
        </w:tc>
      </w:tr>
      <w:tr>
        <w:trPr>
          <w:trHeight w:val="608"/>
        </w:trPr>
        <w:tc>
          <w:tcPr>
            <w:tcW w:w="464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1049 Terra Bella Avenue, Mountain View, California</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479"/>
              <w:spacing w:after="0"/>
              <w:rPr>
                <w:sz w:val="20"/>
                <w:szCs w:val="20"/>
                <w:color w:val="auto"/>
              </w:rPr>
            </w:pPr>
            <w:r>
              <w:rPr>
                <w:rFonts w:ascii="Times New Roman" w:cs="Times New Roman" w:eastAsia="Times New Roman" w:hAnsi="Times New Roman"/>
                <w:sz w:val="16"/>
                <w:szCs w:val="16"/>
                <w:b w:val="1"/>
                <w:bCs w:val="1"/>
                <w:color w:val="auto"/>
              </w:rPr>
              <w:t>94043</w:t>
            </w:r>
          </w:p>
        </w:tc>
        <w:tc>
          <w:tcPr>
            <w:tcW w:w="20" w:type="dxa"/>
            <w:vAlign w:val="bottom"/>
            <w:tcBorders>
              <w:bottom w:val="single" w:sz="8" w:color="auto"/>
            </w:tcBorders>
          </w:tcPr>
          <w:p>
            <w:pPr>
              <w:spacing w:after="0"/>
              <w:rPr>
                <w:sz w:val="24"/>
                <w:szCs w:val="24"/>
                <w:color w:val="auto"/>
              </w:rPr>
            </w:pPr>
          </w:p>
        </w:tc>
      </w:tr>
      <w:tr>
        <w:trPr>
          <w:trHeight w:val="209"/>
        </w:trPr>
        <w:tc>
          <w:tcPr>
            <w:tcW w:w="464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20" w:type="dxa"/>
            <w:vAlign w:val="bottom"/>
          </w:tcPr>
          <w:p>
            <w:pPr>
              <w:spacing w:after="0"/>
              <w:rPr>
                <w:sz w:val="18"/>
                <w:szCs w:val="18"/>
                <w:color w:val="auto"/>
              </w:rPr>
            </w:pPr>
          </w:p>
        </w:tc>
      </w:tr>
      <w:tr>
        <w:trPr>
          <w:trHeight w:val="322"/>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(650) 209-8005</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15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w:t>
            </w: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on which registered</w:t>
            </w:r>
          </w:p>
        </w:tc>
        <w:tc>
          <w:tcPr>
            <w:tcW w:w="0" w:type="dxa"/>
            <w:vAlign w:val="bottom"/>
          </w:tcPr>
          <w:p>
            <w:pPr>
              <w:spacing w:after="0"/>
              <w:rPr>
                <w:sz w:val="1"/>
                <w:szCs w:val="1"/>
                <w:color w:val="auto"/>
              </w:rPr>
            </w:pPr>
          </w:p>
        </w:tc>
      </w:tr>
      <w:tr>
        <w:trPr>
          <w:trHeight w:val="206"/>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8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KDK</w:t>
            </w:r>
          </w:p>
        </w:tc>
        <w:tc>
          <w:tcPr>
            <w:tcW w:w="8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451"/>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Redeemable warrants, each exercisable for one share of</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KDKRW</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common stock at an exercise price of $9.28</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58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or Rule 12b-2 of the Securities Exchange Act of 1934 (§ 240.12b-2).</w:t>
      </w:r>
    </w:p>
    <w:p>
      <w:pPr>
        <w:spacing w:after="0" w:line="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0"/>
          <w:szCs w:val="20"/>
          <w:color w:val="auto"/>
        </w:rPr>
      </w:pPr>
    </w:p>
    <w:p>
      <w:pPr>
        <w:ind w:right="580"/>
        <w:spacing w:after="0" w:line="33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ectPr>
          <w:pgSz w:w="11900" w:h="16838" w:orient="portrait"/>
          <w:cols w:equalWidth="0" w:num="1">
            <w:col w:w="11240"/>
          </w:cols>
          <w:pgMar w:left="320" w:top="997" w:right="339" w:bottom="1440" w:gutter="0" w:footer="0" w:header="0"/>
        </w:sectPr>
      </w:pPr>
    </w:p>
    <w:bookmarkStart w:id="2" w:name="page3"/>
    <w:bookmarkEnd w:id="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2026 Annual Meeting of Stockholders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on June 11, 2026. The matters submitted to a vote at the Annual Meeting and the final voting results of such matters were as follows: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election of two Class I directors to hold office until the Company’s 2029 annual meeting of stockholders and until their respective successors are elected and qualified or until their earlier death, resignation or removal. The final voting results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5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7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8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 Burnette</w:t>
            </w:r>
          </w:p>
        </w:tc>
        <w:tc>
          <w:tcPr>
            <w:tcW w:w="2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132,630,705</w:t>
            </w:r>
          </w:p>
        </w:tc>
        <w:tc>
          <w:tcPr>
            <w:tcW w:w="2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89,913</w:t>
            </w:r>
          </w:p>
        </w:tc>
        <w:tc>
          <w:tcPr>
            <w:tcW w:w="3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2,294,131</w:t>
            </w: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Sverchek</w:t>
            </w:r>
          </w:p>
        </w:tc>
        <w:tc>
          <w:tcPr>
            <w:tcW w:w="2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130,387,753</w:t>
            </w:r>
          </w:p>
        </w:tc>
        <w:tc>
          <w:tcPr>
            <w:tcW w:w="2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2,332,865</w:t>
            </w:r>
          </w:p>
        </w:tc>
        <w:tc>
          <w:tcPr>
            <w:tcW w:w="3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2,294,131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fiscal year ending December 31, 2026. The final voting results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7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7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134,941,047</w:t>
            </w: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23,120</w:t>
            </w:r>
          </w:p>
        </w:tc>
        <w:tc>
          <w:tcPr>
            <w:tcW w:w="2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50,582</w:t>
            </w:r>
          </w:p>
        </w:tc>
        <w:tc>
          <w:tcPr>
            <w:tcW w:w="3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900" w:type="dxa"/>
            <w:vAlign w:val="bottom"/>
            <w:tcBorders>
              <w:bottom w:val="single" w:sz="8" w:color="auto"/>
            </w:tcBorders>
          </w:tcPr>
          <w:p>
            <w:pPr>
              <w:spacing w:after="0"/>
              <w:rPr>
                <w:sz w:val="2"/>
                <w:szCs w:val="2"/>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97"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Surajit Datta</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Surajit Datta</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15, 2026</w:t>
      </w:r>
    </w:p>
    <w:p>
      <w:pPr>
        <w:sectPr>
          <w:pgSz w:w="11900" w:h="16838" w:orient="portrait"/>
          <w:cols w:equalWidth="0" w:num="1">
            <w:col w:w="11200"/>
          </w:cols>
          <w:pgMar w:left="320" w:top="1440"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2026-06-15T15:20:24Z</dcterms:created>
  <dcterms:modified xsi:type="dcterms:W3CDTF">2026-06-15T15:20:24Z</dcterms:modified>
</cp:coreProperties>
</file>