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8"/>
        </w:rPr>
        <w:t>For the transition period from             to       </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No.  001-41691</w:t>
      </w:r>
    </w:p>
    <w:p>
      <w:pPr>
        <w:pStyle w:val="TextBody"/>
        <w:bidi w:val="0"/>
        <w:spacing w:lineRule="auto" w:line="288" w:before="0" w:after="0"/>
        <w:jc w:val="center"/>
        <w:rPr/>
      </w:pPr>
      <w:r>
        <w:rPr>
          <w:rFonts w:ascii="Times New Roman;sans-serif" w:hAnsi="Times New Roman;sans-serif"/>
          <w:b/>
          <w:color w:val="000000"/>
          <w:sz w:val="24"/>
        </w:rPr>
        <w:t>ARES ACQUISITION CORPORATION</w:t>
      </w:r>
      <w:r>
        <w:rPr>
          <w:color w:val="000000"/>
        </w:rPr>
        <w:t xml:space="preserve"> </w:t>
      </w:r>
      <w:r>
        <w:rPr>
          <w:rFonts w:ascii="Times New Roman;sans-serif" w:hAnsi="Times New Roman;sans-serif"/>
          <w:b/>
          <w:color w:val="000000"/>
          <w:sz w:val="24"/>
        </w:rPr>
        <w:t>II</w:t>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5071" w:type="dxa"/>
        <w:jc w:val="center"/>
        <w:tblInd w:w="0" w:type="dxa"/>
        <w:tblLayout w:type="fixed"/>
        <w:tblCellMar>
          <w:top w:w="28" w:type="dxa"/>
          <w:left w:w="28" w:type="dxa"/>
          <w:bottom w:w="28" w:type="dxa"/>
          <w:right w:w="28" w:type="dxa"/>
        </w:tblCellMar>
      </w:tblPr>
      <w:tblGrid>
        <w:gridCol w:w="810"/>
        <w:gridCol w:w="710"/>
        <w:gridCol w:w="715"/>
        <w:gridCol w:w="354"/>
        <w:gridCol w:w="354"/>
        <w:gridCol w:w="358"/>
        <w:gridCol w:w="516"/>
        <w:gridCol w:w="516"/>
        <w:gridCol w:w="738"/>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Cayman Islands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001-41691</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98-1592112</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Number)</w:t>
            </w:r>
          </w:p>
        </w:tc>
      </w:tr>
    </w:tbl>
    <w:p>
      <w:pPr>
        <w:pStyle w:val="TextBody"/>
        <w:bidi w:val="0"/>
        <w:spacing w:lineRule="auto" w:line="288" w:before="140" w:after="283"/>
        <w:jc w:val="center"/>
        <w:rPr>
          <w:rFonts w:ascii="Times New Roman;sans-serif" w:hAnsi="Times New Roman;sans-serif"/>
          <w:b/>
          <w:color w:val="000000"/>
          <w:sz w:val="18"/>
        </w:rPr>
      </w:pPr>
      <w:r>
        <w:rPr>
          <w:rFonts w:ascii="Times New Roman;sans-serif" w:hAnsi="Times New Roman;sans-serif"/>
          <w:b/>
          <w:color w:val="000000"/>
          <w:sz w:val="18"/>
        </w:rPr>
        <w:t xml:space="preserve">245 Park Avenue, 44th Floor, New York, NY 10167 </w:t>
      </w:r>
    </w:p>
    <w:p>
      <w:pPr>
        <w:pStyle w:val="TextBody"/>
        <w:bidi w:val="0"/>
        <w:spacing w:lineRule="auto" w:line="288"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(310) 201-4100 </w:t>
      </w:r>
    </w:p>
    <w:p>
      <w:pPr>
        <w:pStyle w:val="TextBody"/>
        <w:bidi w:val="0"/>
        <w:spacing w:lineRule="auto" w:line="288"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49"/>
        <w:gridCol w:w="1791"/>
        <w:gridCol w:w="1773"/>
        <w:gridCol w:w="109"/>
        <w:gridCol w:w="109"/>
        <w:gridCol w:w="109"/>
        <w:gridCol w:w="433"/>
        <w:gridCol w:w="422"/>
        <w:gridCol w:w="424"/>
        <w:gridCol w:w="109"/>
        <w:gridCol w:w="109"/>
        <w:gridCol w:w="109"/>
        <w:gridCol w:w="748"/>
        <w:gridCol w:w="748"/>
        <w:gridCol w:w="1063"/>
      </w:tblGrid>
      <w:tr>
        <w:trPr/>
        <w:tc>
          <w:tcPr>
            <w:tcW w:w="214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5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Units, each consisting of one Class A Ordinary Share, $0.0001 par value, and one-half of one redeemable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AACT.U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warrants, each whole warrant exercisable for one Class A Ordinary Share at an exercise price of $11.50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AACT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0" w:after="6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 </w:t>
      </w:r>
    </w:p>
    <w:p>
      <w:pPr>
        <w:pStyle w:val="TextBody"/>
        <w:bidi w:val="0"/>
        <w:spacing w:lineRule="auto" w:line="288" w:before="0" w:after="6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9"/>
        <w:gridCol w:w="534"/>
        <w:gridCol w:w="538"/>
        <w:gridCol w:w="109"/>
        <w:gridCol w:w="109"/>
        <w:gridCol w:w="109"/>
        <w:gridCol w:w="415"/>
        <w:gridCol w:w="415"/>
        <w:gridCol w:w="417"/>
        <w:gridCol w:w="109"/>
        <w:gridCol w:w="109"/>
        <w:gridCol w:w="109"/>
        <w:gridCol w:w="535"/>
        <w:gridCol w:w="535"/>
        <w:gridCol w:w="537"/>
        <w:gridCol w:w="109"/>
        <w:gridCol w:w="109"/>
        <w:gridCol w:w="109"/>
        <w:gridCol w:w="663"/>
        <w:gridCol w:w="663"/>
        <w:gridCol w:w="666"/>
        <w:gridCol w:w="109"/>
        <w:gridCol w:w="109"/>
        <w:gridCol w:w="109"/>
        <w:gridCol w:w="663"/>
        <w:gridCol w:w="663"/>
        <w:gridCol w:w="666"/>
        <w:gridCol w:w="109"/>
        <w:gridCol w:w="109"/>
        <w:gridCol w:w="16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18"/>
        </w:rPr>
        <w:t>Indicate by check mark whether the registrant is a shell company (as defined in Rule 12b-2 of the Exchange Act). Yes ☒  No </w:t>
      </w:r>
      <w:r>
        <w:rPr>
          <w:color w:val="000000"/>
        </w:rPr>
        <w: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May 12, 2025, 61,859,712 Class A ordinary shares, par value $0.0001, and 0 Class B ordinary shares, par value $0.0001, were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9763" w:type="dxa"/>
        <w:jc w:val="left"/>
        <w:tblInd w:w="0" w:type="dxa"/>
        <w:tblLayout w:type="fixed"/>
        <w:tblCellMar>
          <w:top w:w="28" w:type="dxa"/>
          <w:left w:w="28" w:type="dxa"/>
          <w:bottom w:w="28" w:type="dxa"/>
          <w:right w:w="28" w:type="dxa"/>
        </w:tblCellMar>
      </w:tblPr>
      <w:tblGrid>
        <w:gridCol w:w="3234"/>
        <w:gridCol w:w="2841"/>
        <w:gridCol w:w="2850"/>
        <w:gridCol w:w="109"/>
        <w:gridCol w:w="109"/>
        <w:gridCol w:w="109"/>
        <w:gridCol w:w="149"/>
        <w:gridCol w:w="149"/>
        <w:gridCol w:w="213"/>
      </w:tblGrid>
      <w:tr>
        <w:trPr/>
        <w:tc>
          <w:tcPr>
            <w:tcW w:w="3234"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09">
              <w:r>
                <w:rPr>
                  <w:rStyle w:val="InternetLink"/>
                  <w:rFonts w:ascii="Times New Roman;sans-serif" w:hAnsi="Times New Roman;sans-serif"/>
                  <w:b/>
                  <w:color w:val="0000FF"/>
                  <w:sz w:val="18"/>
                  <w:u w:val="single"/>
                </w:rPr>
                <w:t>PART I—FINANCIAL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112">
              <w:r>
                <w:rPr>
                  <w:rStyle w:val="InternetLink"/>
                  <w:rFonts w:ascii="Times New Roman;sans-serif" w:hAnsi="Times New Roman;sans-serif"/>
                  <w:b w:val="false"/>
                  <w:color w:val="0000FF"/>
                  <w:sz w:val="18"/>
                  <w:u w:val="single"/>
                </w:rPr>
                <w:t>Item 1. Unaudited Condensed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12">
              <w:r>
                <w:rPr>
                  <w:rStyle w:val="InternetLink"/>
                  <w:rFonts w:ascii="Times New Roman;sans-serif" w:hAnsi="Times New Roman;sans-serif"/>
                  <w:b w:val="false"/>
                  <w:color w:val="0000FF"/>
                  <w:sz w:val="18"/>
                  <w:u w:val="single"/>
                </w:rPr>
                <w:t>3</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15">
              <w:r>
                <w:rPr>
                  <w:rStyle w:val="InternetLink"/>
                  <w:rFonts w:ascii="Times New Roman;sans-serif" w:hAnsi="Times New Roman;sans-serif"/>
                  <w:b w:val="false"/>
                  <w:color w:val="0000FF"/>
                  <w:sz w:val="18"/>
                  <w:u w:val="single"/>
                </w:rPr>
                <w:t>Condensed Balance Sheets as of March 31, 2025 (unaudited) and December 31,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15">
              <w:r>
                <w:rPr>
                  <w:rStyle w:val="InternetLink"/>
                  <w:rFonts w:ascii="Times New Roman;sans-serif" w:hAnsi="Times New Roman;sans-serif"/>
                  <w:b w:val="false"/>
                  <w:color w:val="0000FF"/>
                  <w:sz w:val="18"/>
                  <w:u w:val="single"/>
                </w:rPr>
                <w:t>3</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18">
              <w:r>
                <w:rPr>
                  <w:rStyle w:val="InternetLink"/>
                  <w:rFonts w:ascii="Times New Roman;sans-serif" w:hAnsi="Times New Roman;sans-serif"/>
                  <w:b w:val="false"/>
                  <w:color w:val="000080"/>
                  <w:sz w:val="18"/>
                  <w:u w:val="single"/>
                </w:rPr>
                <w:t xml:space="preserve">Unaudited Condensed Statements of Operations for the three months ended </w:t>
              </w:r>
            </w:hyperlink>
            <w:hyperlink w:anchor="i6bd9f400c8ff4c7bbccc16b1245faa4f_115">
              <w:r>
                <w:rPr>
                  <w:rStyle w:val="InternetLink"/>
                  <w:rFonts w:ascii="Times New Roman;sans-serif" w:hAnsi="Times New Roman;sans-serif"/>
                  <w:b w:val="false"/>
                  <w:color w:val="000080"/>
                  <w:sz w:val="18"/>
                  <w:u w:val="single"/>
                </w:rPr>
                <w:t>March</w:t>
              </w:r>
            </w:hyperlink>
            <w:hyperlink w:anchor="i6bd9f400c8ff4c7bbccc16b1245faa4f_118">
              <w:r>
                <w:rPr>
                  <w:rStyle w:val="InternetLink"/>
                  <w:rFonts w:ascii="Times New Roman;sans-serif" w:hAnsi="Times New Roman;sans-serif"/>
                  <w:b w:val="false"/>
                  <w:color w:val="000080"/>
                  <w:sz w:val="18"/>
                  <w:u w:val="single"/>
                </w:rPr>
                <w:t xml:space="preserve"> 31, 2025 and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18">
              <w:r>
                <w:rPr>
                  <w:rStyle w:val="InternetLink"/>
                  <w:rFonts w:ascii="Times New Roman;sans-serif" w:hAnsi="Times New Roman;sans-serif"/>
                  <w:b w:val="false"/>
                  <w:color w:val="0000FF"/>
                  <w:sz w:val="18"/>
                  <w:u w:val="single"/>
                </w:rPr>
                <w:t>4</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24">
              <w:r>
                <w:rPr>
                  <w:rStyle w:val="InternetLink"/>
                  <w:rFonts w:ascii="Times New Roman;sans-serif" w:hAnsi="Times New Roman;sans-serif"/>
                  <w:b w:val="false"/>
                  <w:color w:val="000080"/>
                  <w:sz w:val="18"/>
                  <w:u w:val="single"/>
                </w:rPr>
                <w:t xml:space="preserve">Unaudited Condensed Statements of Changes in Shareholders’ Deficit for the three months ended </w:t>
              </w:r>
            </w:hyperlink>
            <w:hyperlink w:anchor="i6bd9f400c8ff4c7bbccc16b1245faa4f_115">
              <w:r>
                <w:rPr>
                  <w:rStyle w:val="InternetLink"/>
                  <w:rFonts w:ascii="Times New Roman;sans-serif" w:hAnsi="Times New Roman;sans-serif"/>
                  <w:b w:val="false"/>
                  <w:color w:val="000080"/>
                  <w:sz w:val="18"/>
                  <w:u w:val="single"/>
                </w:rPr>
                <w:t>March</w:t>
              </w:r>
            </w:hyperlink>
            <w:hyperlink w:anchor="i6bd9f400c8ff4c7bbccc16b1245faa4f_124">
              <w:r>
                <w:rPr>
                  <w:rStyle w:val="InternetLink"/>
                  <w:rFonts w:ascii="Times New Roman;sans-serif" w:hAnsi="Times New Roman;sans-serif"/>
                  <w:b w:val="false"/>
                  <w:color w:val="000080"/>
                  <w:sz w:val="18"/>
                  <w:u w:val="single"/>
                </w:rPr>
                <w:t xml:space="preserve"> 31, 2025 and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24">
              <w:r>
                <w:rPr>
                  <w:rStyle w:val="InternetLink"/>
                  <w:rFonts w:ascii="Times New Roman;sans-serif" w:hAnsi="Times New Roman;sans-serif"/>
                  <w:b w:val="false"/>
                  <w:color w:val="0000FF"/>
                  <w:sz w:val="18"/>
                  <w:u w:val="single"/>
                </w:rPr>
                <w:t>5</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27">
              <w:r>
                <w:rPr>
                  <w:rStyle w:val="InternetLink"/>
                  <w:rFonts w:ascii="Times New Roman;sans-serif" w:hAnsi="Times New Roman;sans-serif"/>
                  <w:b w:val="false"/>
                  <w:color w:val="000080"/>
                  <w:sz w:val="18"/>
                  <w:u w:val="single"/>
                </w:rPr>
                <w:t xml:space="preserve">Unaudited Condensed Statements of Cash Flows for the three months ended </w:t>
              </w:r>
            </w:hyperlink>
            <w:hyperlink w:anchor="i6bd9f400c8ff4c7bbccc16b1245faa4f_115">
              <w:r>
                <w:rPr>
                  <w:rStyle w:val="InternetLink"/>
                  <w:rFonts w:ascii="Times New Roman;sans-serif" w:hAnsi="Times New Roman;sans-serif"/>
                  <w:b w:val="false"/>
                  <w:color w:val="000080"/>
                  <w:sz w:val="18"/>
                  <w:u w:val="single"/>
                </w:rPr>
                <w:t>March</w:t>
              </w:r>
            </w:hyperlink>
            <w:hyperlink w:anchor="i6bd9f400c8ff4c7bbccc16b1245faa4f_127">
              <w:r>
                <w:rPr>
                  <w:rStyle w:val="InternetLink"/>
                  <w:rFonts w:ascii="Times New Roman;sans-serif" w:hAnsi="Times New Roman;sans-serif"/>
                  <w:b w:val="false"/>
                  <w:color w:val="000080"/>
                  <w:sz w:val="18"/>
                  <w:u w:val="single"/>
                </w:rPr>
                <w:t xml:space="preserve"> 31, 2025 and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27">
              <w:r>
                <w:rPr>
                  <w:rStyle w:val="InternetLink"/>
                  <w:rFonts w:ascii="Times New Roman;sans-serif" w:hAnsi="Times New Roman;sans-serif"/>
                  <w:b w:val="false"/>
                  <w:color w:val="0000FF"/>
                  <w:sz w:val="18"/>
                  <w:u w:val="single"/>
                </w:rPr>
                <w:t>6</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33">
              <w:r>
                <w:rPr>
                  <w:rStyle w:val="InternetLink"/>
                  <w:rFonts w:ascii="Times New Roman;sans-serif" w:hAnsi="Times New Roman;sans-serif"/>
                  <w:b w:val="false"/>
                  <w:color w:val="0000FF"/>
                  <w:sz w:val="18"/>
                  <w:u w:val="single"/>
                </w:rPr>
                <w:t>Notes to Unaudited Condensed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33">
              <w:r>
                <w:rPr>
                  <w:rStyle w:val="InternetLink"/>
                  <w:rFonts w:ascii="Times New Roman;sans-serif" w:hAnsi="Times New Roman;sans-serif"/>
                  <w:b w:val="false"/>
                  <w:color w:val="0000FF"/>
                  <w:sz w:val="18"/>
                  <w:u w:val="single"/>
                </w:rPr>
                <w:t>7</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46">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46">
              <w:r>
                <w:rPr>
                  <w:rStyle w:val="InternetLink"/>
                  <w:rFonts w:ascii="Times New Roman;sans-serif" w:hAnsi="Times New Roman;sans-serif"/>
                  <w:b w:val="false"/>
                  <w:color w:val="0000FF"/>
                  <w:sz w:val="18"/>
                  <w:u w:val="single"/>
                </w:rPr>
                <w:t>21</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55">
              <w:r>
                <w:rPr>
                  <w:rStyle w:val="InternetLink"/>
                  <w:rFonts w:ascii="Times New Roman;sans-serif" w:hAnsi="Times New Roman;sans-serif"/>
                  <w:b w:val="false"/>
                  <w:color w:val="0000FF"/>
                  <w:sz w:val="18"/>
                  <w:u w:val="single"/>
                </w:rPr>
                <w:t>Item 3. 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55">
              <w:r>
                <w:rPr>
                  <w:rStyle w:val="InternetLink"/>
                  <w:rFonts w:ascii="Times New Roman;sans-serif" w:hAnsi="Times New Roman;sans-serif"/>
                  <w:b w:val="false"/>
                  <w:color w:val="0000FF"/>
                  <w:sz w:val="18"/>
                  <w:u w:val="single"/>
                </w:rPr>
                <w:t>26</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64">
              <w:r>
                <w:rPr>
                  <w:rStyle w:val="InternetLink"/>
                  <w:rFonts w:ascii="Times New Roman;sans-serif" w:hAnsi="Times New Roman;sans-serif"/>
                  <w:b w:val="false"/>
                  <w:color w:val="0000FF"/>
                  <w:sz w:val="18"/>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64">
              <w:r>
                <w:rPr>
                  <w:rStyle w:val="InternetLink"/>
                  <w:rFonts w:ascii="Times New Roman;sans-serif" w:hAnsi="Times New Roman;sans-serif"/>
                  <w:b w:val="false"/>
                  <w:color w:val="0000FF"/>
                  <w:sz w:val="18"/>
                  <w:u w:val="single"/>
                </w:rPr>
                <w:t>26</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72">
              <w:r>
                <w:rPr>
                  <w:rStyle w:val="InternetLink"/>
                  <w:rFonts w:ascii="Times New Roman;sans-serif" w:hAnsi="Times New Roman;sans-serif"/>
                  <w:b/>
                  <w:color w:val="0000FF"/>
                  <w:sz w:val="18"/>
                  <w:u w:val="single"/>
                </w:rPr>
                <w:t>PART II—OTHER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31">
              <w:r>
                <w:rPr>
                  <w:rStyle w:val="InternetLink"/>
                  <w:rFonts w:ascii="Times New Roman;sans-serif" w:hAnsi="Times New Roman;sans-serif"/>
                  <w:b w:val="false"/>
                  <w:color w:val="0000FF"/>
                  <w:sz w:val="18"/>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31">
              <w:r>
                <w:rPr>
                  <w:rStyle w:val="InternetLink"/>
                  <w:rFonts w:ascii="Times New Roman;sans-serif" w:hAnsi="Times New Roman;sans-serif"/>
                  <w:b w:val="false"/>
                  <w:color w:val="0000FF"/>
                  <w:sz w:val="18"/>
                  <w:u w:val="single"/>
                </w:rPr>
                <w:t>27</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175">
              <w:r>
                <w:rPr>
                  <w:rStyle w:val="InternetLink"/>
                  <w:rFonts w:ascii="Times New Roman;sans-serif" w:hAnsi="Times New Roman;sans-serif"/>
                  <w:b w:val="false"/>
                  <w:color w:val="0000FF"/>
                  <w:sz w:val="18"/>
                  <w:u w:val="single"/>
                </w:rPr>
                <w:t>Item 1A. 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75">
              <w:r>
                <w:rPr>
                  <w:rStyle w:val="InternetLink"/>
                  <w:rFonts w:ascii="Times New Roman;sans-serif" w:hAnsi="Times New Roman;sans-serif"/>
                  <w:b w:val="false"/>
                  <w:color w:val="0000FF"/>
                  <w:sz w:val="18"/>
                  <w:u w:val="single"/>
                </w:rPr>
                <w:t>27</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178">
              <w:r>
                <w:rPr>
                  <w:rStyle w:val="InternetLink"/>
                  <w:rFonts w:ascii="Times New Roman;sans-serif" w:hAnsi="Times New Roman;sans-serif"/>
                  <w:b w:val="false"/>
                  <w:color w:val="0000FF"/>
                  <w:sz w:val="18"/>
                  <w:u w:val="single"/>
                </w:rPr>
                <w:t>Item 2. Unregistered Sales of Equity Securities and Use of Proceeds from Registered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78">
              <w:r>
                <w:rPr>
                  <w:rStyle w:val="InternetLink"/>
                  <w:rFonts w:ascii="Times New Roman;sans-serif" w:hAnsi="Times New Roman;sans-serif"/>
                  <w:b w:val="false"/>
                  <w:color w:val="0000FF"/>
                  <w:sz w:val="18"/>
                  <w:u w:val="single"/>
                </w:rPr>
                <w:t>30</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181">
              <w:r>
                <w:rPr>
                  <w:rStyle w:val="InternetLink"/>
                  <w:rFonts w:ascii="Times New Roman;sans-serif" w:hAnsi="Times New Roman;sans-serif"/>
                  <w:b w:val="false"/>
                  <w:color w:val="0000FF"/>
                  <w:sz w:val="18"/>
                  <w:u w:val="single"/>
                </w:rPr>
                <w:t>Item 3. 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81">
              <w:r>
                <w:rPr>
                  <w:rStyle w:val="InternetLink"/>
                  <w:rFonts w:ascii="Times New Roman;sans-serif" w:hAnsi="Times New Roman;sans-serif"/>
                  <w:b w:val="false"/>
                  <w:color w:val="0000FF"/>
                  <w:sz w:val="18"/>
                  <w:u w:val="single"/>
                </w:rPr>
                <w:t>30</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34">
              <w:r>
                <w:rPr>
                  <w:rStyle w:val="InternetLink"/>
                  <w:rFonts w:ascii="Times New Roman;sans-serif" w:hAnsi="Times New Roman;sans-serif"/>
                  <w:b w:val="false"/>
                  <w:color w:val="0000FF"/>
                  <w:sz w:val="18"/>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34">
              <w:r>
                <w:rPr>
                  <w:rStyle w:val="InternetLink"/>
                  <w:rFonts w:ascii="Times New Roman;sans-serif" w:hAnsi="Times New Roman;sans-serif"/>
                  <w:b w:val="false"/>
                  <w:color w:val="0000FF"/>
                  <w:sz w:val="18"/>
                  <w:u w:val="single"/>
                </w:rPr>
                <w:t>30</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67">
              <w:r>
                <w:rPr>
                  <w:rStyle w:val="InternetLink"/>
                  <w:rFonts w:ascii="Times New Roman;sans-serif" w:hAnsi="Times New Roman;sans-serif"/>
                  <w:b w:val="false"/>
                  <w:color w:val="0000FF"/>
                  <w:sz w:val="18"/>
                  <w:u w:val="single"/>
                </w:rPr>
                <w:t>Item 5.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34">
              <w:r>
                <w:rPr>
                  <w:rStyle w:val="InternetLink"/>
                  <w:rFonts w:ascii="Times New Roman;sans-serif" w:hAnsi="Times New Roman;sans-serif"/>
                  <w:b w:val="false"/>
                  <w:color w:val="0000FF"/>
                  <w:sz w:val="18"/>
                  <w:u w:val="single"/>
                </w:rPr>
                <w:t>30</w:t>
              </w:r>
            </w:hyperlink>
          </w:p>
        </w:tc>
      </w:tr>
      <w:tr>
        <w:trPr/>
        <w:tc>
          <w:tcPr>
            <w:tcW w:w="8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hyperlink w:anchor="i6bd9f400c8ff4c7bbccc16b1245faa4f_184">
              <w:r>
                <w:rPr>
                  <w:rStyle w:val="InternetLink"/>
                  <w:rFonts w:ascii="Times New Roman;sans-serif" w:hAnsi="Times New Roman;sans-serif"/>
                  <w:b w:val="false"/>
                  <w:color w:val="0000FF"/>
                  <w:sz w:val="18"/>
                  <w:u w:val="single"/>
                </w:rPr>
                <w:t>Item 6. Exhibits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84">
              <w:r>
                <w:rPr>
                  <w:rStyle w:val="InternetLink"/>
                  <w:rFonts w:ascii="Times New Roman;sans-serif" w:hAnsi="Times New Roman;sans-serif"/>
                  <w:b w:val="false"/>
                  <w:color w:val="0000FF"/>
                  <w:sz w:val="18"/>
                  <w:u w:val="single"/>
                </w:rPr>
                <w:t>31</w:t>
              </w:r>
            </w:hyperlink>
          </w:p>
        </w:tc>
      </w:tr>
      <w:tr>
        <w:trPr/>
        <w:tc>
          <w:tcPr>
            <w:tcW w:w="8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bd9f400c8ff4c7bbccc16b1245faa4f_187">
              <w:r>
                <w:rPr>
                  <w:rStyle w:val="InternetLink"/>
                  <w:rFonts w:ascii="Times New Roman;sans-serif" w:hAnsi="Times New Roman;sans-serif"/>
                  <w:b w:val="false"/>
                  <w:color w:val="0000FF"/>
                  <w:sz w:val="18"/>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bd9f400c8ff4c7bbccc16b1245faa4f_187">
              <w:r>
                <w:rPr>
                  <w:rStyle w:val="InternetLink"/>
                  <w:rFonts w:ascii="Times New Roman;sans-serif" w:hAnsi="Times New Roman;sans-serif"/>
                  <w:b w:val="false"/>
                  <w:color w:val="0000FF"/>
                  <w:sz w:val="18"/>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Unaudited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712"/>
        <w:gridCol w:w="2143"/>
        <w:gridCol w:w="2173"/>
        <w:gridCol w:w="196"/>
        <w:gridCol w:w="1066"/>
        <w:gridCol w:w="109"/>
        <w:gridCol w:w="109"/>
        <w:gridCol w:w="109"/>
        <w:gridCol w:w="109"/>
        <w:gridCol w:w="204"/>
        <w:gridCol w:w="1112"/>
        <w:gridCol w:w="163"/>
      </w:tblGrid>
      <w:tr>
        <w:trPr/>
        <w:tc>
          <w:tcPr>
            <w:tcW w:w="2712"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06" w:type="dxa"/>
            <w:gridSpan w:val="6"/>
            <w:tcBorders/>
          </w:tcPr>
          <w:p>
            <w:pPr>
              <w:pStyle w:val="TableContents"/>
              <w:bidi w:val="0"/>
              <w:spacing w:before="0" w:after="283"/>
              <w:jc w:val="left"/>
              <w:rPr>
                <w:sz w:val="4"/>
                <w:szCs w:val="4"/>
              </w:rPr>
            </w:pPr>
            <w:r>
              <w:rPr>
                <w:sz w:val="4"/>
                <w:szCs w:val="4"/>
              </w:rPr>
            </w:r>
          </w:p>
        </w:tc>
      </w:tr>
      <w:tr>
        <w:trPr/>
        <w:tc>
          <w:tcPr>
            <w:tcW w:w="7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975,319 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747,611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1,100,982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held in Trust Account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556,498,479 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550,800,038 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557,246,090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551,901,020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Liabilities and shareholders’ deficit</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3,092,844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740,569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Overfunding loans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underwriting and advisory fees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25,592,844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23,240,569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ordinary shares, $0.0001 par value; 50,000,000 shares subject to possible redemption at $11.13 and $11.01 per share at March 31, 2025 and December 31, 2024, respectively</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556,398,479 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550,700,038 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deficit</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Preference shares, $0.0001 par value; 99,990,000 shares authorized; none issued or outstanding</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ordinary shares, $0.0001 par value; 9,000,000,000 shares authorized; none issued and outstanding (excluding 50,000,000 shares subject to possible redemption at March 31, 2025 and December 31, 2024)</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B ordinary shares, $0.0001 par value; 900,000,000 shares authorized; 12,500,000 shares issued and outstanding at March 31, 2025 and December 31, 2024</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(24,746,483)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(22,040,837)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shareholders’ deficit</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(24,745,233)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(22,039,587)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557,246,090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551,901,020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15"/>
        <w:gridCol w:w="1769"/>
        <w:gridCol w:w="1776"/>
        <w:gridCol w:w="109"/>
        <w:gridCol w:w="109"/>
        <w:gridCol w:w="213"/>
        <w:gridCol w:w="213"/>
        <w:gridCol w:w="382"/>
        <w:gridCol w:w="1732"/>
        <w:gridCol w:w="213"/>
        <w:gridCol w:w="109"/>
        <w:gridCol w:w="109"/>
        <w:gridCol w:w="109"/>
        <w:gridCol w:w="196"/>
        <w:gridCol w:w="886"/>
        <w:gridCol w:w="109"/>
        <w:gridCol w:w="156"/>
      </w:tblGrid>
      <w:tr>
        <w:trPr/>
        <w:tc>
          <w:tcPr>
            <w:tcW w:w="201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4"/>
            <w:tcBorders/>
          </w:tcPr>
          <w:p>
            <w:pPr>
              <w:pStyle w:val="TableContents"/>
              <w:bidi w:val="0"/>
              <w:spacing w:before="0" w:after="283"/>
              <w:jc w:val="left"/>
              <w:rPr>
                <w:sz w:val="4"/>
                <w:szCs w:val="4"/>
              </w:rPr>
            </w:pPr>
            <w:r>
              <w:rPr>
                <w:sz w:val="4"/>
                <w:szCs w:val="4"/>
              </w:rPr>
            </w:r>
          </w:p>
        </w:tc>
      </w:tr>
      <w:tr>
        <w:trPr/>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2,705,646 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(2,705,646)</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(455,512)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 on investments held in Trust Account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5,698,441 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5,698,441</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6,848,902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2,992,795</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6,393,390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Basic and diluted weighted average shares outstanding of 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50,000,000</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50,000,000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Basic and diluted net income per share, 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0.05</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Basic and diluted weighted average shares outstanding of Class B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12,500,000</w:t>
            </w:r>
            <w:r>
              <w:rPr>
                <w:color w:val="000000"/>
              </w:rPr>
              <w:t> </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12,500,000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Basic and diluted net income per share, Class B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0.05</w:t>
            </w: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STATEMENTS OF CHANGES IN SHAREHOLDERS’ DEFICIT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4"/>
        <w:gridCol w:w="723"/>
        <w:gridCol w:w="726"/>
        <w:gridCol w:w="488"/>
        <w:gridCol w:w="488"/>
        <w:gridCol w:w="196"/>
        <w:gridCol w:w="119"/>
        <w:gridCol w:w="119"/>
        <w:gridCol w:w="119"/>
        <w:gridCol w:w="215"/>
        <w:gridCol w:w="627"/>
        <w:gridCol w:w="119"/>
        <w:gridCol w:w="109"/>
        <w:gridCol w:w="109"/>
        <w:gridCol w:w="109"/>
        <w:gridCol w:w="373"/>
        <w:gridCol w:w="773"/>
        <w:gridCol w:w="208"/>
        <w:gridCol w:w="109"/>
        <w:gridCol w:w="109"/>
        <w:gridCol w:w="109"/>
        <w:gridCol w:w="210"/>
        <w:gridCol w:w="1077"/>
        <w:gridCol w:w="116"/>
        <w:gridCol w:w="109"/>
        <w:gridCol w:w="109"/>
        <w:gridCol w:w="109"/>
        <w:gridCol w:w="239"/>
        <w:gridCol w:w="1230"/>
        <w:gridCol w:w="195"/>
      </w:tblGrid>
      <w:tr>
        <w:trPr/>
        <w:tc>
          <w:tcPr>
            <w:tcW w:w="86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Deficit</w:t>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12,500,000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(22,040,837)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(22,039,587)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Class A ordinary shares to redemption amount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(5,698,441)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(5,698,441)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2,992,795 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2,992,795 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March 31,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12,500,000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(24,746,483)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(24,745,233)</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4"/>
        <w:gridCol w:w="723"/>
        <w:gridCol w:w="726"/>
        <w:gridCol w:w="488"/>
        <w:gridCol w:w="488"/>
        <w:gridCol w:w="196"/>
        <w:gridCol w:w="119"/>
        <w:gridCol w:w="119"/>
        <w:gridCol w:w="119"/>
        <w:gridCol w:w="215"/>
        <w:gridCol w:w="627"/>
        <w:gridCol w:w="119"/>
        <w:gridCol w:w="109"/>
        <w:gridCol w:w="109"/>
        <w:gridCol w:w="109"/>
        <w:gridCol w:w="373"/>
        <w:gridCol w:w="773"/>
        <w:gridCol w:w="208"/>
        <w:gridCol w:w="109"/>
        <w:gridCol w:w="109"/>
        <w:gridCol w:w="109"/>
        <w:gridCol w:w="210"/>
        <w:gridCol w:w="1077"/>
        <w:gridCol w:w="116"/>
        <w:gridCol w:w="109"/>
        <w:gridCol w:w="109"/>
        <w:gridCol w:w="109"/>
        <w:gridCol w:w="239"/>
        <w:gridCol w:w="1230"/>
        <w:gridCol w:w="195"/>
      </w:tblGrid>
      <w:tr>
        <w:trPr/>
        <w:tc>
          <w:tcPr>
            <w:tcW w:w="86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Deficit</w:t>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12,500,000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(20,265,310)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(20,264,060)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Class A ordinary shares to redemption amount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(6,848,901)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(6,848,901)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6,393,390 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6,393,390 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March 31, 2024</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12,500,000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(20,720,821)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(20,719,571)</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8292" w:type="dxa"/>
        <w:jc w:val="center"/>
        <w:tblInd w:w="0" w:type="dxa"/>
        <w:tblLayout w:type="fixed"/>
        <w:tblCellMar>
          <w:top w:w="28" w:type="dxa"/>
          <w:left w:w="28" w:type="dxa"/>
          <w:bottom w:w="28" w:type="dxa"/>
          <w:right w:w="28" w:type="dxa"/>
        </w:tblCellMar>
      </w:tblPr>
      <w:tblGrid>
        <w:gridCol w:w="1938"/>
        <w:gridCol w:w="1705"/>
        <w:gridCol w:w="1711"/>
        <w:gridCol w:w="209"/>
        <w:gridCol w:w="946"/>
        <w:gridCol w:w="116"/>
        <w:gridCol w:w="116"/>
        <w:gridCol w:w="116"/>
        <w:gridCol w:w="116"/>
        <w:gridCol w:w="209"/>
        <w:gridCol w:w="946"/>
        <w:gridCol w:w="164"/>
      </w:tblGrid>
      <w:tr>
        <w:trPr/>
        <w:tc>
          <w:tcPr>
            <w:tcW w:w="1938"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2,992,795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6,393,390</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in operating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 earned on investments held in Trust Account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(5,698,441)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(6,848,902)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2,343,906 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137,480 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operating activities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(318,005)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(261,780)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(318,005)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(261,780)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 beginning of period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975,319 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1,905,123 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 end of period</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657,314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1,643,343</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Ares Acquisition Corporation II (“AACT” or the “Company”) was incorporated as a Cayman Islands exempted company on March 15, 2021. The Company was formed for the purpose of effecting a merger, share exchange, asset acquisition, share purchase, reorganization or similar business combination with one or more businesses (the “Business Combination”).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limited to a particular industry or geographic region for purposes of consummating a Business Combination. The Company is an emerging growth company and, as such, the Company is subject to all of the risks associated with emerging growth companies.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not commenced any operations. All activity for the period from March 15, 2021 (inception) through March 31, 2025 relates to the Company’s formation and the initial public offering (the “Initial Public Offering”) described below, and since the closing of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 The Company has selected December 31 as its fiscal year 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statement for the Company’s Initial Public Offering was declared effective on April 20, 2023. On April 25, 2023, the Company consummated its Initial Public Offering of 50,000,000 units (the “Units” and, with respect to the Class A ordinary shares included in the Units being offered, the “public shares”) at $10.00 per Unit, including 5,000,000 Units to cover over-allotments (the “Over-Allotment Units”), at $10.00 per Unit, which is discussed in Note 3, generating gross proceeds of $500,000,000, and incurring offering costs of $28,550,129, of which $17,500,000 was for deferred underwriting commissions (see Note 5). Each Unit consists of one Class A ordinary share and one-half of one redeemable warrant (“Public Warrant”).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the closing of the Initial Public Offering: (i) the Company consummated the sale of 14,300,000 warrants (the “Private Placement Warrants”), including 1,000,000 Private Placement Warrants to cover over-allotments, for an aggregate purchase price of $14,300,000, in a private placement to Ares Acquisition Holdings II LP, a Cayman Islands exempted limited partnership (the “Sponsor”) and (ii) the Sponsor extended to the Company a non-interest bearing promissory note of $4,500,000 (the “Base Overfunding Loan”) and an additional non-interest bearing promissory note of $500,000 (the “Over-allotment Overfunding Loan”) in connection with the sale of the Over-Allotment Units, for which both loans are collectively referred to as the “Overfunding Loans,” for a total outstanding balance of $5,000,000 (see Note 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Initial Public Offering and the private placement, $505,000,000 ($10.10 per Unit) of the net proceeds of the Initial Public Offering and certain of the proceeds of the private placement and the Overfunding Loans were placed in a trust account (“Trust Account”) located in the United States and invested solely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and (ii) the distribution of the Trust Account, as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Company’s initial Business Combination must be with one or more target businesses that together have a fair market value of at least 80% of the assets held in the Trust Account (excluding the deferred underwriting fees and taxes payable on the income earned on the Trust Account) at the time of the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provide its holders of the outstanding public shares (the “public shareholders”) with the opportunity to redeem all or a portion of their Class A ordinary shares upon the consummation of a Business Combination either (i) in connection with a shareholder meeting called to approve the Business Combination or (ii) by means of a tender offer.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decision as to whether the Company will seek shareholder approval of a Business Combination or conduct a tender offer will be made by the Company, solely in its discretion. The public shareholders will be entitled to convert their public shares for a pro rata portion of the amount then in the Trust Account (initially $10.10 per public share, plus any pro rata interest earned on the funds held in the Trust Account and net of taxes paid or payable, if any). There will be no redemption rights upon the completion of a Business Combination with respect to the Company’s warrants. The public shares subject to redemption will be recorded at a redemption value and classified as temporary equity upon the completion of the Initial Public Offering in accordance with the Financial Accounting Standards Board (“FASB”) Accounting Standards Codification (“ASC”) Topic 480, “Distinguishing Liabilities from Equity.”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proceed with a Business Combination only if it obtains the approval of an ordinary resolution under Cayman Islands law, which requires the affirmative vote of shareholders holding a majority of ordinary shares who attend and vote at a shareholder meeting.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Class B ordinary shares, and the Sponsor and the Company’s officers and directors have agreed to vote any public shares acquired in or after the Initial Public Offering in favor of a Business Combination. Additionally, each public shareholder may elect to redeem their public shares irrespective of whether they vote for or against the proposed transaction or abstain from voting on the proposed transaction. See “Subsequent Events” for information about the Sponsor’s conversion of its Class B ordinary shares to Class A ordinary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the Company seeks shareholder approval of a Business Combination and it does not conduct conversion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converting its shares with respect to more than an aggregate of 15% or more of the public shares sold in the Initial Public Offering, without the prior consent of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and the Company’s officers and directors have agreed (i) to waive their redemption rights with respect to their Class B ordinary shares and any public shares held by them in connection with the completion of a Business Combination and (ii) not to propose an amendment to (a) modify the substance or timing of the Company’s obligation to provide for the redemption of its public shares in connection with a Business Combination or to redeem 100% of the Company’s public shares if the Company does not complete a Business Combination by the Combination Period (as defined below) or (b) with respect to any other material provisions relating to shareholders’ rights or pre-initial Business Combination activity, unless the Company provides the public shareholders with the opportunity to redeem their public shares in conjunction with any such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originally had until April 25, 2025 to complete a Business Combination (the “Combination Period”). See “Subsequent Events” for details on an extraordinary general meeting of shareholders at which the Company extended the Combination Period until January 26, 2026, or such earlier date as the Company’s board of directors may approve, or such later date that the shareholders may approve, in accordance with the Company’s Amended and Restated Memorandum and Articles of Association. If the Company is unable to complete a Business Combination within the Combination Period,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liquidation expenses) divided by the number of the then-outstanding public shares, which redemption will completely extinguish public shareholders’ rights as shareholders (including the right to receive further liquidation distributions, if any), subject to the Company’s obligations under Cayman Islands law to provide for claims of creditors and to the other requirements of applicable law. There will be no redemption rights or liquidating distributions with respect to the Company’s warrants, which may expire worthless if the Company fails to complete a Business Combination within the Combination Period.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Sponsor has agreed to waive its liquidation rights with respect to its Class B ordinary shares if the Company fails to complete a Business Combination within the Combination Period. However, if the Sponsor or the Company’s officers or directors acquire public shares in or after the Initial Public Offering, such public shares will be entitled to liquidating distributions from the Trust Account if the Company fails to complete a Business Combination within the Combination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underwriters have agreed to waive their rights to their deferred underwriting commissions (see Note 5)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amounts in the Trust Account to below (i) $10.10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material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0"/>
        </w:rPr>
        <w:t>Risks and Uncertainties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the impact of persistent inflation and rising interest rates, financial market instability and certain geopolitical events. Management has concluded that while it is reasonably possible that the risks and uncertainties related to or resulting from these events could have a negative effect on the Company’s financial position, results of its operations and/or search for a target company, the specific impact is not readily determinable as of the date of these unaudited condensed financial statements. The unaudited condensed financial statements do not include any adjustments that might result from the outcome of these risks and uncertainties.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Going Concern Considerations, 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$657,314 in cash held outside of the Trust Account and a working capital deficit of $2,345,233.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investments held in the Trust Account of $556,498,479, consisting of cash and investments in a money market fund that invests solely in U.S. government securities. Interest income on the balance in the Trust Account may be used by the Company to pay taxes, and to pay up to $100,000 of any dissolution expenses.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liquidity needs to date have been satisfied through a contribution of $25,000 from the Sponsor to cover certain expenses in exchange for the issuance of the Class B ordinary shares, a loan of $366,781 from the Sponsor pursuant to the Promissory Note (see Note 4), and the proceeds from the consummation of the private placement not held in the Trust Account. The Company repaid the Promissory Note in full on April 25, 2023. In addition, in order to finance transaction costs in connection with a Business Combination, the Sponsor or an affiliate of the Sponsor may provide the Company with Working Capital Loans (see Note 4). As of March 31, 2025 and December 31, 2024, there were no amounts outstanding under any Working Capital Loan.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extended mandatory liquidation of the Trust Account, as approved on April 22, 2025, should a business combination not occur by January 26, 2026, raises substantial doubt about the Company’s ability to continue as a going concern for a period of time within one year after the date that the unaudited condensed financial statements are issued. Management plans to complete the initial Business Combination prior to the extended mandatory liquidation date of the Trust Account and expects to receive financing from the Sponsor or an affiliate of the Sponsor to meet its obligations through the time of liquidation of the Trust Account or the completion of the initial Business Combination. There is no financing that is currently committed and no assurance that the plans to consummate the initial Business Combination will be successful or successful within the Combination Period. The unaudited condensed financial statements do not include any adjustments that might result from the Company’s inability to continue as a going concern.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accompanying unaudited condensed financial statements are presented in conformity with accounting principles generally accepted in the United States of America (“GAAP”)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 operating results presented for interim periods are not necessarily indicative of the results that may be expected for any other interim period or for the entire year or any future period. These unaudited condensed financial statements should be read in conjunction with the audited financial statements included in the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 xml:space="preserve">for the year ended December 31, 2024 filed by the Company with the SEC on March 12, 2025.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complies with ASU 2023-07, which improves reportable segment disclosure requirements, primarily through enhanced disclosures about significant segment expenses among other disclosure requirements.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unaudited condensed financial statements in conformity with GAAP requires the Company’s management to make estimates and assumptions that affect the reported amounts of assets and liabilities, disclosure of contingent assets and liabilities at the date of the unaudited condensed financial statements and the reported amounts of revenues and expenses during the reporting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short-term investments with an original maturity of three months or less when purchased to be cash equivalents. The Company has $657,314 and $975,319 of cash as of March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The Company did not have cash equivalents held outside the Trust Account as of March 31, 2025 and December 31,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Investments Held in Trust Account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portfolio of investments is comprised solely of U.S. government securities, within the meaning set forth in Section 2(a)(16) of the Investment Company Act, with a maturity of 185 days or less, or in money market funds meeting certain conditions under Rule 2a-7 promulgated under the Investment Company Act that invest only in direct U.S. government treasury obligations.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are included in investment income on investments held in Trust Account in the accompanying unaudited condensed statements of operations. The estimated fair values of investments held in the Trust Account are determined using quoted market prices in active markets.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0"/>
        </w:rPr>
        <w:t>Concentration of Credit Risk</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of a cash account in a financial institution, which, at times, may exceed the Federal Deposit Insurance Corporation limit of $250,000. Any loss incurred or a lack of access to such funds could have a significant adverse impact on the Company’s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defined as observable inputs such as quoted prices for identical instruments in active markets;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carrying values of cash, accrued expenses, due to related party and advances from related party approximate their fair values due to the short-term nature of the instruments. The Company’s portfolio of investments held in the Trust Account is comprised of investments in U.S. government securities, within the meaning set forth in Section 2(a)(16) of the Investment Company Act, with a maturity of 185 days or less, or in money market funds meeting certain conditions under Rule 2a-7 promulgated under the Investment Company Act that invest only in direct U.S. government treasury obligations. The fair value for trading securities is determined using quoted market prices in active markets.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Derivative Financial Instruments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equity-linked financial instruments to determine if such instruments are derivatives or contain features that qualify as embedded derivatives in accordance with ASC 815, “Derivatives and Hedging.” For derivative financial instruments that are classified as liabilities, the derivative instrument is initially recognized at fair value with subsequent changes in fair value recognized in the unaudited condensed statements of operations each reporting period.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classification of derivative instruments, including whether such instruments should be classified as liabilities or as equity, is evaluated at the end of each reporting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Public Warrants and the Private Placement Warrants in accordance with the guidance contained in ASC 815. Such guidance provides that the warrants are not precluded from equity classification. Equity-classified contracts are initially measured at fair value (or allocated value). Subsequent changes in fair value are not recognized as long as the contracts continue to be classified in equity.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Class A Ordinary Shares Subject to Possible Redemption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as of March 31, 2025 and December 31, 2024, 50,000,000 Class A ordinary shares, subject to possible redemption are presented as temporary equity, outside of the shareholders’ deficit section of the Company’s condensed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changes in redemption value immediately as they occur and adjusts the carrying value of redeemable ordinary shares to equal the redemption value at the end of each reporting period. This method would view the end of the reporting period as if it were also the redemption date for the security.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Class A ordinary shares reflected in the accompanying condensed balance sheets are reconciled in the following table:</w:t>
      </w:r>
    </w:p>
    <w:p>
      <w:pPr>
        <w:pStyle w:val="TextBody"/>
        <w:bidi w:val="0"/>
        <w:spacing w:before="0" w:after="0"/>
        <w:jc w:val="left"/>
        <w:rPr/>
      </w:pPr>
      <w:r>
        <w:rPr/>
      </w:r>
    </w:p>
    <w:tbl>
      <w:tblPr>
        <w:tblW w:w="7638" w:type="dxa"/>
        <w:jc w:val="left"/>
        <w:tblInd w:w="0" w:type="dxa"/>
        <w:tblLayout w:type="fixed"/>
        <w:tblCellMar>
          <w:top w:w="28" w:type="dxa"/>
          <w:left w:w="28" w:type="dxa"/>
          <w:bottom w:w="28" w:type="dxa"/>
          <w:right w:w="28" w:type="dxa"/>
        </w:tblCellMar>
      </w:tblPr>
      <w:tblGrid>
        <w:gridCol w:w="2131"/>
        <w:gridCol w:w="1876"/>
        <w:gridCol w:w="1888"/>
        <w:gridCol w:w="109"/>
        <w:gridCol w:w="109"/>
        <w:gridCol w:w="109"/>
        <w:gridCol w:w="196"/>
        <w:gridCol w:w="1066"/>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Class A ordinary shares subject to possible redemption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522,938,352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carrying value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27,761,686 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Class A ordinary shares subject to possible redemption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550,700,038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carrying value to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Class A ordinary shares subject to possible redemption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556,398,479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has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31, 2025 and December 31, 2024. The Company is currently not aware of any issues under review that could result in significant payments, accruals or material deviation from its position.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currently no taxation imposed on income by the government of the Cayman Islands. In accordance with Cayman Islands income tax regulations, income taxes are not levied on the Company. Consequently, income taxes are not reflected in the Company’s unaudited condensed financial statements. </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Net Income</w:t>
      </w:r>
      <w:r>
        <w:rPr>
          <w:color w:val="000000"/>
        </w:rPr>
        <w:t xml:space="preserve"> </w:t>
      </w:r>
      <w:r>
        <w:rPr>
          <w:rFonts w:ascii="Times New Roman;sans-serif" w:hAnsi="Times New Roman;sans-serif"/>
          <w:b/>
          <w:color w:val="000000"/>
          <w:sz w:val="20"/>
        </w:rPr>
        <w:t>per Ordinary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complies with accounting and disclosure requirements of FASB ASC Topic 260, “Earnings Per Share”. The Company has two classes of shares, which are referred to as Class A ordinary shares and Class B ordinary shares. Income and losses are shared pro rata between the two classes of shares. Net income per ordinary share is computed by dividing net income by the weighted average number of ordinary shares outstanding during the period. Accretion associated with the redeemable shares of Class A ordinary shares is excluded from earnings per share as the redemption value approximates fair value.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diluted net income per share does not consider the effect of the Public Warrants issued in connection with the Initial Public Offering and the sale of the Private Placement Warrants because the exercise of the warrants is contingent upon the occurrence of future events.</w:t>
      </w:r>
    </w:p>
    <w:p>
      <w:pPr>
        <w:pStyle w:val="TextBody"/>
        <w:bidi w:val="0"/>
        <w:spacing w:before="0" w:after="0"/>
        <w:ind w:left="0" w:right="0" w:firstLine="720"/>
        <w:jc w:val="both"/>
        <w:rPr/>
      </w:pPr>
      <w:r>
        <w:rPr/>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calculation of basic and diluted net income per ordinary share:</w:t>
      </w:r>
    </w:p>
    <w:tbl>
      <w:tblPr>
        <w:tblW w:w="10205" w:type="dxa"/>
        <w:jc w:val="left"/>
        <w:tblInd w:w="0" w:type="dxa"/>
        <w:tblLayout w:type="fixed"/>
        <w:tblCellMar>
          <w:top w:w="28" w:type="dxa"/>
          <w:left w:w="28" w:type="dxa"/>
          <w:bottom w:w="28" w:type="dxa"/>
          <w:right w:w="28" w:type="dxa"/>
        </w:tblCellMar>
      </w:tblPr>
      <w:tblGrid>
        <w:gridCol w:w="2010"/>
        <w:gridCol w:w="1770"/>
        <w:gridCol w:w="1776"/>
        <w:gridCol w:w="109"/>
        <w:gridCol w:w="109"/>
        <w:gridCol w:w="225"/>
        <w:gridCol w:w="225"/>
        <w:gridCol w:w="405"/>
        <w:gridCol w:w="1801"/>
        <w:gridCol w:w="225"/>
        <w:gridCol w:w="109"/>
        <w:gridCol w:w="109"/>
        <w:gridCol w:w="109"/>
        <w:gridCol w:w="196"/>
        <w:gridCol w:w="871"/>
        <w:gridCol w:w="156"/>
      </w:tblGrid>
      <w:tr>
        <w:trPr/>
        <w:tc>
          <w:tcPr>
            <w:tcW w:w="201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550" w:type="dxa"/>
            <w:gridSpan w:val="6"/>
            <w:tcBorders/>
          </w:tcPr>
          <w:p>
            <w:pPr>
              <w:pStyle w:val="TableContents"/>
              <w:bidi w:val="0"/>
              <w:spacing w:before="0" w:after="283"/>
              <w:jc w:val="left"/>
              <w:rPr>
                <w:sz w:val="4"/>
                <w:szCs w:val="4"/>
              </w:rPr>
            </w:pPr>
            <w:r>
              <w:rPr>
                <w:sz w:val="4"/>
                <w:szCs w:val="4"/>
              </w:rPr>
            </w:r>
          </w:p>
        </w:tc>
      </w:tr>
      <w:tr>
        <w:trPr/>
        <w:tc>
          <w:tcPr>
            <w:tcW w:w="5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2,394,236 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5,114,712 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and diluted weighted average shares outstanding, 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Basic and diluted net income per share, 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0.05</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0.10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B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Class B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598,559 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1,278,678 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Denominator: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and diluted weighted average shares outstanding, Class B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Basic and diluted net income per share, Class B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0.05</w:t>
            </w: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0.10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that any recently issued, but not yet effective, accounting pronouncements, if currently adopted, would have a material effect on the Company’s unaudited condensed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INITIAL PUBLIC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 consummated its Initial Public Offering of 50,000,000 Units, including 5,000,000 Units to cover Over-Allotment Units, at $10.00 per Unit, generating gross proceeds of $500,000,000, and incurring offering costs of $28,550,129, of which $17,500,000 was for deferred underwriting commissions (see Note 5). Each Unit consists of one Class A ordinary share and one-half of one Public Warrant.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Class B Ordinary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2021, the Sponsor paid $25,000 to cover certain offering and formation costs of the Company in consideration of the Company’s Class B ordinary shares. Through April 25, 2023, the Company effectuated a share surrender and share recapitalizations resulting in the Sponsor holding an aggregate of 12,937,500 Class B ordinary shares, which would represent 20% of the outstanding shares upon completion of the offering. The Sponsor agreed to forfeit up to 1,687,500 Class B ordinary shares to the extent that the underwriters’ over-allotment option was not exercised in full so that the Class B ordinary shares would represent, on an as-converted basis, 20% of the Company’s issued and outstanding shares after the Initial Public Offering. On April 25, 2023, the underwriters partially exercised the over-allotment option to purchase 5,000,000 Units; thus, 1,250,000 Class B ordinary shares were no longer subject to forfeiture. On June 5, 2023, following the expiration of the remaining over-allotment option, the Sponsor forfeited 437,500 Class B ordinary shares. The Class B ordinary shares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automatically convert into Class A ordinary shares upon consummation of a Business Combination, or earlier at the option of the holders of the Class B ordinary shares, on a one-for-one basis, subject to certain adjustments, as described in Note 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has agreed not to transfer, assign or sell any of the Class B ordinary shares (except to certain permitted transferees) until the earlier of (i) one year after the date of the consummation of a Business Combination, or (ii) subsequent to the consummation of a Business Combination, (a) if the last reported sale price of the Company’s Class A ordinary shares equals or exceeds $12.00 per share (as adjusted for share subdivisions, share capitalizations, reorganizations, recapitalizations and the like) for any 20 trading days within any 30-trading day period commencing at least 150 days after the Business Combination, or (b) subsequent to a Business Combination, the date on which the Company completes a liquidation, merger, share exchange or other similar transaction which results in all of the Company’s shareholders having the right to exchange their ordinary shares for cash, securities or other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“Subsequent Events” for information about the Sponsor’s conversion of its Class B ordinary shares into Class A ordinary shares.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Promissory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2021, the Company issued a promissory note to the Sponsor, pursuant to which the Sponsor agreed to loan the Company up to an aggregate of $300,000 to be used for the payment of costs related to the Initial Public Offering (the “Promissory Note”). On February 8, 2023, the Company amended the Promissory Note with an effective date as of December 31, 2021 to increase the principal up to $400,000. The Promissory Note was non-interest bearing, unsecured and payable upon the completion of the Initial Public Offering. The Company borrowed $366,781 under the Promissory Note and fully repaid the Promissory Note on April 25, 2023. Borrowings under the Promissory Note were no longer available after consummation of the Initial Public Offering.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“Subsequent Events” for details about additional related party transactions.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Private Placement Warrants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closing of the Initial Public Offering, the Company consummated the private placement of 14,300,000 Private Placement Warrants, including 1,000,000 Private Placement Warrants to cover over-allotments, for an aggregate purchase price of $14,300,000 in a private placement to the Sponsor. Each Private Placement Warrant is exercisable to purchase one share of Class A ordinary shares at a price of $11.50 per share. A portion of the proceeds from the Private Placement Warrants was added to the proceeds from the Initial Public Offering to be held in the Trust Account. If the Company does not complete a Business Combination within the Combination Period, the proceeds of the sale of the Private Placement Warrants will be used to fund the redemption of the public shares, and the Private Placement Warrants may expire worthless.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Overfunding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closing of the Initial Public Offering, the Sponsor extended the Base Overfunding Loan in the amount of $4,500,000 to the Company. On April 25, 2023, simultaneously with the sale of the Over-Allotment Units, the Sponsor further extended the Over-allotment Overfunding Loan in the amount of $500,000 to the Company, for an aggregate outstanding principal amount of $5,000,000. The Overfunding Loans will be repaid upon the closing of the initial Business Combination or converted into warrants of the post-business combination entity at a price of $1.00 per warrant (or any combination of repayment or conversion), at the Sponsor’s discretion, which warrants will be identical to the Private Placement Warrants. The Overfunding Loans are being extended in order to ensure that the amount in the Trust Account is $10.10 per public share. If the Company does not complete an initial Business Combination, the Company will not repay the Overfunding Loans from amounts held in the Trust Account, however, the Company may repay the Overfunding Loans if there are funds available outside the Trust Account. As of March 31, 2025 and December 31, 2024, the Company had $5,000,000 outstanding in connection with the Overfunding Loans as reflected in the accompanying condensed balance sheets.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Working Capital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order to finance transaction costs in connection with a Business Combination, the Sponsor or an affiliate of the Sponsor may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$2,000,000 of such Working Capital Loans may be convertible into warrants of the post-Business Combination entity at a price of $1.00 per warrant. The warrants would be identical to the Private Placement Warrants. As of March 31, 2025 and December 31, 2024, the Company had no outstanding borrowings under the Working Capital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Administrative Service Fee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the Company has agreed to pay the Sponsor, or an affiliate of the Sponsor, a monthly fee of $16,667 for office space, utilities, secretarial support and administrative services. This arrangement will terminate upon completion of a Business Combination or the distribution of the Trust Account to the public shareholders. The Company incurred $50,001 during the three months ended March 31, 2025 and 2024, respectively, in expenses in connection with such services. These expenses were presented within general and administrative expenses in the accompanying unaudited condensed statements of operations. As of March 31, 2025 and December 31, 2024, the Company had no outstanding balance in accrued expenses in connection with such services as reflected in the accompanying condensed balance sheets.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Advances from Related Parties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or an affiliate of the Sponsor, paid certain operating costs on behalf of the Company. These advances are due on demand and are non-interest bearing. As of March 31, 2025 and December 31, 2024, the Company had $58,590 and $50,221, respectively, outstanding in due to related party as reflected in the accompanying condensed balance sheets.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Advisory Agreement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the Company engaged Ares Management Capital Markets LLC (“AMCM”), an affiliate of the Company’s Sponsor, to provide consulting and advisory services to the Company in connection with the Initial Public Offering and the initial Business Combination. Ares Management Capital Markets LLC received an advisory fee of $2,000,000, paid upon the closing of the Initial Public Offering, and will receive a deferred advisory fee of $3,500,000, payable solely in the event that the Company completes the initial Business Combination. The fees are reimbursed from a portion of the fees paid to the underwriters. See “Subsequent Events” for details about additional agreements with respect to AMCM’s advisory fee.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COMMITMENTS AND CONTINGENCIES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B ordinary shares, Private Placement Warrants and Private Placement Warrants that may be issued upon conversion of Working Capital Loans and Overfunding Loans (and the Class A ordinary shares underlying such warrants) will have registration rights to require the Company to register a sale of any of its securities held by them pursuant to a registration rights agreement signed upon consummation of the Initial Public Offering. The holders of these securities will be entitled to make up to three demands, excluding short form registration demands, that the Company register such securities for sale under the Securities Act. In addition, these holders will be entitled to “piggy-back” registration rights to include their securities in other registration statements filed by the Company, subject to certain limitations. The Company will bear the expenses incurred in connection with the filing of any such registration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Underwriting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the underwriters a 45-day option from the final prospectus relating to the Initial Public Offering to purchase up to 6,750,000 additional Units to cover over-allotments, if any, at the Initial Public Offering price less the underwriting discounts and commissions. On April 25, 2023, the underwriters partially exercised their over-allotment option for an additional 5,000,000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underwriters were entitled to a cash underwriting discount of $0.20 per Unit, or $10,000,000 in the aggregate, paid upon the closing of the Initial Public Offering. In addition, the underwriters will be entitled to deferred underwriting commissions of $0.35 per Unit, or $17,500,000 in the aggregate. The deferred underwriting commissions will become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underwriters from the amounts held in the Trust Account solely in the event that the Company completes a Business Combination, subject to the terms of the underwriting agreement. See “Subsequent Events” for details about additional agreements with respect to the deferred underwriting commissions.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Contingent Fees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fee arrangement with a service provider pursuant to which certain transaction fees and service fees will become payable only if the Company consummates a Business Combination. If the Business Combination does not occur, the Company will not be required to pay these contingent fees. As of March 31, 2025, the amount of these contingent fees with the service provider was $732,045.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“Subsequent Events” for details about additional agreements with respect to certain contingent fees payable upon consummation of an initial business combination.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SHAREHOLDERS’ DEFICIT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Preference Shares</w:t>
      </w:r>
      <w:r>
        <w:rPr>
          <w:color w:val="000000"/>
        </w:rPr>
        <w:t xml:space="preserve"> — </w:t>
      </w:r>
      <w:r>
        <w:rPr>
          <w:rFonts w:ascii="Times New Roman;sans-serif" w:hAnsi="Times New Roman;sans-serif"/>
          <w:b w:val="false"/>
          <w:color w:val="000000"/>
          <w:sz w:val="20"/>
        </w:rPr>
        <w:t>The Company is authorized to issue 99,990,000 preference shares with a par value of $0.0001 per share with such designation, rights and preferences as may be determined from time to time by the Company’s Board of Directors. As of March 31, 2025 and December 31, 2024, there were no preference shares issued or outstanding.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Class A Ordinary Shares</w:t>
      </w:r>
      <w:r>
        <w:rPr>
          <w:color w:val="000000"/>
        </w:rPr>
        <w:t xml:space="preserve"> — </w:t>
      </w:r>
      <w:r>
        <w:rPr>
          <w:rFonts w:ascii="Times New Roman;sans-serif" w:hAnsi="Times New Roman;sans-serif"/>
          <w:b w:val="false"/>
          <w:color w:val="000000"/>
          <w:sz w:val="20"/>
        </w:rPr>
        <w:t>The Company is authorized to issue 9,000,000,000 Class A ordinary shares with a par value of $0.0001 per share. Holders of Class A ordinary shares are entitled to one vote for each share. As of March 31, 2025 and December 31, 2024, there were no Class A ordinary shares issued and outstanding, excluding 50,000,000 shares as of March 31, 2025 and December 31, 2024 that are subject to possible redemption and are presented as temporary equity, outside of the shareholders’ deficit section of the condensed balance sheets.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Class B Ordinary Shares</w:t>
      </w:r>
      <w:r>
        <w:rPr>
          <w:color w:val="000000"/>
        </w:rPr>
        <w:t xml:space="preserve"> — </w:t>
      </w:r>
      <w:r>
        <w:rPr>
          <w:rFonts w:ascii="Times New Roman;sans-serif" w:hAnsi="Times New Roman;sans-serif"/>
          <w:b w:val="false"/>
          <w:color w:val="000000"/>
          <w:sz w:val="20"/>
        </w:rPr>
        <w:t xml:space="preserve">The Company is authorized to issue 900,000,000 Class B ordinary shares with a par value of $0.0001 per share. Holders of the Company’s Class B ordinary shares are entitled to one vote for each ordinary share. As of March 31, 2025 and December 31, 2024, there were 12,500,000 Class B ordinary shares issued and outstanding.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Class A ordinary shares and Class B ordinary shares will vote together as a single class on all other matters submitted to a vote of shareholders except as required by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Class B ordinary shares will automatically convert into Class A ordinary shares at the time of a Business Combination, or earlier at the option of the holders of the Class B ordinary shares, on a one-for-one basis, subject to adjustment. In the case that additional Class A ordinary shares or equity-linked securities are issued or deemed issued in excess of the amounts offered in the Initial Public Offering and related to the closing of a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as-converted basis, 20% of the sum of the total number of all ordinary shares outstanding upon completion of the Initial Public Offering plus all Class A ordinary shares and equity-linked securities issued or deemed issued in connection with a Business Combination (excluding any shares or equity-linked securities issued, or to be issued, to any seller in a Business Combination and any private placement-equivalent warrants issued to the Sponsor or its affiliates upon conversion of loans made to the Company).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WARRANTS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there were 39,300,000 warrants outstanding (14,300,000 Private Placement Warrants and 25,000,000 Public Warrants). The Public Warrants may only be exercised for a whole number of shares. No fractional shares will be issued upon exercise of the Public Warrants. The Public Warrants will become exercisable 30 days after the completion of a Business Combination. The Public Warrants will expire five years after the completion of a Business Combination or earlier upon redemption or liquidation.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obligated to issue Class A ordinary shares upon exercise of a warrant unless the Class A ordinary shares issuable upon such warrant exercise has been registered, qualified or deemed to be exempt under the securities laws of the state of residence of the registered holder of the warrants.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use its commercially reasonable efforts to cause the registration statement to become effective within 60 business days after the closing of its initial business combination, and to maintain the effectiveness of such registration statement and a current prospectus relating to those Class A ordinary shares until the warrants expire or are redeemed, as specified in the warrant agreement provided that if its Class A ordinary shares are at the time of any exercise of a warrant not listed on a national securities exchange such that they satisfy the definition of a “covered security” under Section 18(b)(1) of the Securities Act, the Company may, at its option, require holders of the Public Warrants who exercise their warrants to do so on a “cashless basis” in accordance with Section 3(a)(9) of the Securities Act and, in the event the Company so elects, it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commercially reasonable efforts to register or qualify the shares under applicable blue sky laws to the extent an exemption is not available.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the warrants become exercisable, the Company may redeem the Public Warrants: </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 xml:space="preserve">in whole and not in part;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 xml:space="preserve">at a price of $0.01 per warrant;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 xml:space="preserve">upon not less than 30 days’ prior written notice of redemption given after the warrants become exercisable to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warrant holder; and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 xml:space="preserve">if, and only if, the closing price of the Company’s Class A ordinary shares equals or exceeds $18.00 per share (as adjusted for adjustments to the number of shares issuable upon exercise or the exercise price of a warrant) for any 20 trading days within a 30-trading day period ending on the third trading day prior to the date on which the Company sends the notice of redemption to the warrant 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(i)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Class B ordinary shares held by the Sponsor or its affiliates, prior to such issuance) (the “Newly Issued Price”), (ii) the aggregate gross proceeds from such issuances represent more than 60% of the total equity proceeds, and interest on such issuances, available for the funding of a Business Combination on the date of the consummation of a Business Combination (net of redemptions), and (iii)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(Note 4)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be non-redeemable and be entitled to registration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share dividend, or recapitalization, reorganization, merger or consolidation. However, the warrants will not be adjusted for issuance of ordinary shares at a price below its exercise price. Additionally, in no event will the Company be required to net cash settle the warrants. If the Company is unable to complete a Business Combination within the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assets held in the Trust Account are comprised of cash and investments in a money market fund that invests solely in U.S. government securities. During the three months ended March 31, 2025 and 2024, the Company did not withdraw any interest income from the Trust Account.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that are measured at fair value as of March 31, 2025 and December 31, 2024, and indicates the fair value hierarchy of the valuation techniques that the Company utilized to determine such fair value:</w:t>
      </w:r>
    </w:p>
    <w:p>
      <w:pPr>
        <w:pStyle w:val="TextBody"/>
        <w:bidi w:val="0"/>
        <w:spacing w:before="0" w:after="0"/>
        <w:ind w:left="0" w:right="0" w:firstLine="720"/>
        <w:jc w:val="both"/>
        <w:rPr/>
      </w:pPr>
      <w:r>
        <w:rPr/>
      </w:r>
    </w:p>
    <w:tbl>
      <w:tblPr>
        <w:tblW w:w="6897" w:type="dxa"/>
        <w:jc w:val="left"/>
        <w:tblInd w:w="0" w:type="dxa"/>
        <w:tblLayout w:type="fixed"/>
        <w:tblCellMar>
          <w:top w:w="28" w:type="dxa"/>
          <w:left w:w="28" w:type="dxa"/>
          <w:bottom w:w="28" w:type="dxa"/>
          <w:right w:w="28" w:type="dxa"/>
        </w:tblCellMar>
      </w:tblPr>
      <w:tblGrid>
        <w:gridCol w:w="905"/>
        <w:gridCol w:w="796"/>
        <w:gridCol w:w="803"/>
        <w:gridCol w:w="109"/>
        <w:gridCol w:w="109"/>
        <w:gridCol w:w="109"/>
        <w:gridCol w:w="165"/>
        <w:gridCol w:w="165"/>
        <w:gridCol w:w="166"/>
        <w:gridCol w:w="109"/>
        <w:gridCol w:w="109"/>
        <w:gridCol w:w="109"/>
        <w:gridCol w:w="196"/>
        <w:gridCol w:w="1051"/>
        <w:gridCol w:w="109"/>
        <w:gridCol w:w="109"/>
        <w:gridCol w:w="109"/>
        <w:gridCol w:w="109"/>
        <w:gridCol w:w="218"/>
        <w:gridCol w:w="1171"/>
        <w:gridCol w:w="171"/>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held in Trust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556,498,479 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550,800,038 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SEGMENT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 Topic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(“CODM”), or group, in deciding how to allocate resources and assess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has been identified as a group that includes the chief executive officer, chief financial officer and chief operating officer, that collectively reviews the consolidated operating results for the Company as a whole to make decisions about allocating resources and assessing financial performance. Accordingly, the CODM has determined that the Company only has one reporting segment.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assesses performance for the single segment and decides how to allocate resources based on net income or loss that also is reported on the unaudited condensed statements of operations. The measure of segment assets is reported on the condensed balance sheets as total assets. The CODM reviews several key metrics, including general and administrative expenses, which represent the significant segment expenses, and investment income on investments held in the Trust Account, both of which are included in the accompanying unaudited condensed statements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reviews investment income on investments held in the Trust Account to measure and monitor stockholder value and determine the most effective strategy of investment with the Trust Account funds while maintaining compliance with the trust agreement. General and administrative expenses are reviewed and monitored by the CODM to manage and forecast cash to ensure enough capital is available to complete a Business Combination within the Combination Period. The CODM also reviews general and administrative expenses to manage, maintain and enforce all contractual agreements to ensure costs are aligned with all agreements and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SUBSEQUENT EVENTS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to determine if events or transactions occurring through the date the unaudited condensed financial statements were issued required potential adjustment to or disclosure in the unaudited condensed financial statements. Other than as described below, the Company concluded that there have been no events that have occurred that would require adjustments to the unaudited condensed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2025, the Company entered into a business combination agreement (as it may be amended, supplemented or otherwise modified from time to time in accordance with its terms, the “Business Combination Agreement”), by and among the Company, Kodiak Robotics Inc., a Delaware corporation (“Kodiak”), and AAC II Merger Sub, Inc., a Delaware corporation (“Merger Sub”). The transactions contemplated by the Business Combination Agreement are referred to as the “Proposed Business Combination.” Concurrently with the execution of the Business Combination Agreement, the Company entered into a sponsor support agreement with Kodiak and the Sponsor (the “Sponsor Support Agreement”), and certain stockholders of Kodiak entered into certain company support agreements with Kodiak and the Company. The Business Combination Agreement and the Proposed Business Combination were unanimously approved by the board of directors of each of the Company (including, in the case of the Company, the special committee of the board of directors, which consists of its independent directors), Merger Sub and Kodiak.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in connection with a financing effort related to the Business Combination, AACT entered into subscription agreements with certain institutional and accredited investors (the “PIPE Investors” and the subscription agreements, the “Subscription Agreements”). Under the terms of the Subscription Agreements, the PIPE Investors agreed, subject to the terms and conditions set forth in the Subscription Agreements, and following the domestication, to subscribe for and purchase an aggregate of $60 million worth of shares of the post-closing company (the “PIPE Stock”). The base purchase price per share for the PIPE Stock will equal the redemption price of the Class A ordinary shares in connection with the closing of the Proposed Business Combination (the “Redemption Price”), subject to adjustment such that the purchase price per share will be 90% of the Redemption Price for any PIPE Investor that subscribes for $50 million or more of PIPE Stock. We refer to such transactions as the “PIPE Investments.” The closing of the PIPE Investments is conditioned upon, among other things, the completion or concurrent consummation of the Proposed Business Combination.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potential PIPE Investments, the Company entered into arrangements with certain placement agents pursuant to which such placement agents and certain other parties will receive up to 4.0% of funds raised in connection with the PIPE Investment upon the successful consummation of a PIPE Investment subject to the payment of minimum amounts to certain placement agents. If the PIPE Investment does not occur, the Company will only be required to pay the minimum amount and will not be required to pay these contingent fees. The actual amount of fees payable will be based upon the final amounts in the PIPE Investment. No fees will be payable to the placement agents in connection with their role as placement agents in the event that the Company does not consummate the Proposed Business Combination.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prior to the execution of the Business Combination Agreement, the Company, AMCM, and the representatives of the several underwriters in connection with the Company’s Initial Public Offering agreed to adjust the aggregate amount payable to the underwriters as a deferred underwriting fee and to AMCM as a deferred Initial Public Offering advisory fee to an aggregate amount of $8,359,410.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on the Proposed Business Combination, refer to the Current Report on Form 8-K filed by the Company with the SEC on April 14,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2025, the Company held an extraordinary general meeting of shareholders (the “Shareholder Meeting”) and approved a proposal to amend the Company’s Amended and Restated Memorandum and Articles of Association to extend the date by which the Company has to consummate an initial business combination from April 25, 2025 to January 26, 2026, or such earlier date as the Company’s board of directors may approve, or such later date that the shareholders may approve, in accordance with the Company’s Amended and Restated Memorandum and Articles of Association (the “Extension”). In connection with the approval of the Extension, shareholders elected to redeem an aggregate of 640,288 Class A ordinary shares, for which the Company paid cash from the Trust Account in the aggregate amount of approximately $7.1 million (approximately $11.16 per share) to redeeming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Extension, the Company issued an aggregate of 12,500,000 Class A ordinary shares to the Sponsor upon the conversion (the “Conversion”) by the Sponsor of an equal number of Class B ordinary shares.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ARES ACQUISITION CORPORATION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FINANCIAL STATEMENTS </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12,500,000 Class A ordinary shares issued in connection with the Conversion are subject to the same restrictions as applied to the Class B ordinary shares before the Conversion, including, among other things, certain transfer restrictions, waiver of redemption rights and the obligation to vote in favor of an initial business combination as described in the Company’s prospectus for its Initial Public Offering. Following the Conversion and redemptions in connection with the Shareholder Meeting, there are 61,859,712</w:t>
      </w:r>
      <w:r>
        <w:rPr>
          <w:color w:val="000000"/>
        </w:rPr>
        <w:t xml:space="preserve"> </w:t>
      </w:r>
      <w:r>
        <w:rPr>
          <w:rFonts w:ascii="Times New Roman;sans-serif" w:hAnsi="Times New Roman;sans-serif"/>
          <w:b w:val="false"/>
          <w:color w:val="000000"/>
          <w:sz w:val="20"/>
        </w:rPr>
        <w:t>Class A ordinary shares and no Class B ordinary shares issued and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the approval of the Extension, the Sponsor agreed to make monthly deposits directly to the Trust Account of $0.02 for each outstanding Class A ordinary share, other than Class A ordinary shares held by the Sponsor upon any conversion of Class B ordinary shares (each deposit, a “Contribution”), beginning on April 25, 2025. All Contributions will be repaid in full by the post-closing company at the time of the closing of the Proposed Business Combination. If the Proposed Business Combination does not close, 50% of the Contributions will be an obligation of Kodiak and 50% will be an obligation of the Company pursuant to a non-interest bearing, unsecured promissory note (the “Extension Promissory Note”) issued by the Company to the Sponsor. The Extension Promissory Note will be repaid to the Sponsor on the earlier of (i) the consummation of a business combination, or (ii) January 26, 2026. In April 2025, the Sponsor deposited approximately $1.0 million</w:t>
      </w:r>
      <w:r>
        <w:rPr>
          <w:color w:val="000000"/>
        </w:rPr>
        <w:t xml:space="preserve"> </w:t>
      </w:r>
      <w:r>
        <w:rPr>
          <w:rFonts w:ascii="Times New Roman;sans-serif" w:hAnsi="Times New Roman;sans-serif"/>
          <w:b w:val="false"/>
          <w:color w:val="000000"/>
          <w:sz w:val="20"/>
        </w:rPr>
        <w:t>into the Trust Account.</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to “AACT,” the “Company,” “our,” “us” or “we” refer to Ares Acquisition Corporation II. The following discussion and analysis of the Company’s financial condition and results of operations should be read in conjunction with our unaudited condensed financial statements and the notes thereto contained elsewhere in this report. Certain information contained in the discussion and analysis set forth below includes forward-looking statements that involve risks and uncertainties.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including the Proposed Business Combination,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 including in our proxy statement/prospectus (the “Proxy Statement/Prospectus”) related to the Proposed Business Combination included in a Registration Statement on Form S-4, and any amendments thereto, that was initially filed with the SEC on May 14, 2025 (File No. 333-287278)</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blank check company formed on March 15, 2021 as a Cayman Islands exempted company for the purpose of effecting a merger, share exchange, asset acquisition, share purchase, reorganization or similar business combination with one or more businesses, which we refer to throughout this Quarterly Report as our initial business combination. We intend to effectuate our business combination using cash from the proceeds of the Initial Public Offering and the sale of the Private Placement Warrants, our capital stock, debt or a combination of cash, stock and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the accompanying financial statements, as of March 31, 2025, we had $657,314 in our operating bank account. Further, we expect to continue to incur significant costs in the pursuit of an initial business combination. We cannot assure you that our plans to complete our initial business combination will be successful.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registration statement for our Initial Public Offering was declared effective on April 20, 2023. On April 25, 2023, we consummated our Initial Public Offering of 50,000,000 Units, including 5,000,000 Over-Allotment Units, at $10.00 per Unit, generating gross proceeds of $500,000,000, and incurring offering costs of $28,550,129, of which $17,500,000 was for deferred underwriting commissions.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Initial Public Offering, we consummated the Private Placement of 14,300,000 Private Placement Warrants, including 1,000,000 Private Placement Warrants to cover over-allotments, for an aggregate purchase price of $14,300,000, to the Sponsor.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Initial Public Offering, the Private Placement and the Overfunding Loans, $505,000,000 ($10.10 per Unit) of the net proceeds of the Initial Public Offering and certain of the proceeds of the Private Placement and the Overfunding Loans were placed in the Trust Account located in the United States and invested in U.S. government securities, within the meaning set forth in Section 2(a)(16) of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until January 26, 2026 to complete a business combination. If we are unable to complete a business combination within the Combination Period, we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liquidation expenses) divided by the number of the then-outstanding public shares, which redemption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 completely extinguish public shareholders’ rights as shareholders (including the right to receive further liquidation distributions, if any), subject to our obligations under Cayman Islands law to provide for claims of creditors and to the other requirements of applicable law. There will be no redemption rights or liquidating distributions with respect to our warrants, which may expire worthless if we fail to complete a business combination within the Combination Period.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Combination Agreement with Kodiak Robotics Inc.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2025, we entered into the Business Combination Agreement with Kodiak. The Business Combination Agreement and the Proposed Business Combination were unanimously approved by the board of directors of each of the Company (including, in our case, the special committee of the board of directors, which consists of our independent directors), Merger Sub and Kodiak.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Proposed Business Combination is subject to, among other things, the approval of the Proposed Business Combination by the Company’s shareholders, satisfaction of the conditions stated in the Business Combination Agreement and other customary closing conditions, including that the SEC completes its review of the Proxy Statement/Prospectus, the receipt of certain regulatory approvals, and the approval by the NYSE to list the securities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Proposed Business Combination, Merger Sub will merge with and into Kodiak, with Kodiak being the surviving corporation and continuing as a direct wholly owned subsidiary of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 on the Proposed Business Combination, refer to the Current Report on Form 8-K filed by the Company with the SEC on April 14, 2025.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231F20"/>
          <w:sz w:val="20"/>
        </w:rPr>
      </w:pPr>
      <w:r>
        <w:rPr>
          <w:rFonts w:ascii="Times New Roman;sans-serif" w:hAnsi="Times New Roman;sans-serif"/>
          <w:b/>
          <w:i/>
          <w:color w:val="231F20"/>
          <w:sz w:val="20"/>
        </w:rPr>
        <w:t>Sponsor Support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we entered into a sponsor support agreement with Kodiak and our Sponsor. Pursuant to the Sponsor Support Agreement, our Sponsor agreed to, among other things vote in favor of the adoption of certain proposals at the extraordinary general meeting to be held in connection with the approval of the Proposed Business Combination. If at any time prior to the termination of the Business Combination Agreement, the Company’s board of directors or the special committee of the board of directors effects a Modification of Recommendation (as defined in the Business Combination Agreement), then the obligations to vote in accordance with the foregoing sentence shall automatically be deemed to be modified such that the Sponsor will vote its shares in the same proportion to the votes cast of the public shareholders.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231F20"/>
          <w:sz w:val="20"/>
        </w:rPr>
      </w:pPr>
      <w:r>
        <w:rPr>
          <w:rFonts w:ascii="Times New Roman;sans-serif" w:hAnsi="Times New Roman;sans-serif"/>
          <w:b/>
          <w:i/>
          <w:color w:val="231F20"/>
          <w:sz w:val="20"/>
        </w:rPr>
        <w:t>Extension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Initial Public Offering prospectus and Amended and Restated Memorandum and Articles of Association provided that we had until April 25, 2025 (the date which was 24 months after the consummation of the Initial Public Offering) to complete an initial business combination. On April 22, 2025, we held the Shareholder Meeting at which we extended the Combination Period until January 26, 2026, or such earlier date as our board of directors may approve, or such later date as the shareholders may approve in accordance with the Amended and Restated Memorandum and Articles of Association. In connection with the approval of the Extension, shareholders elected to redeem an aggregate of 640,288 Class A ordinary shares, of which we paid cash from the Trust Account in the aggregate amount of approximately $7.1 million (approximately $11.16 per share) to redeeming shareholders.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231F20"/>
          <w:sz w:val="20"/>
        </w:rPr>
      </w:pPr>
      <w:r>
        <w:rPr>
          <w:rFonts w:ascii="Times New Roman;sans-serif" w:hAnsi="Times New Roman;sans-serif"/>
          <w:b/>
          <w:i/>
          <w:color w:val="231F20"/>
          <w:sz w:val="20"/>
        </w:rPr>
        <w:t>PIPE Investment Arrangements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in connection with a financing effort related to the Business Combination, we entered into the Subscription Agreements with the PIPE Investors. Under the terms of the Subscription Agreements, the PIPE Investors agreed, subject to the terms and conditions set forth in the Subscription Agreements, and following the domestication, to subscribe for and purchase an aggregate of $60 million worth of PIPE Stock. The base purchase price per share for the PIPE Stock will equal the Redemption Price, subject to adjustment such that the purchase price per share will be 90% of the Redemption Price for any PIPE Investor that subscribes for $50 million or more of PIPE Stock. The closing of the PIPE Investments is conditioned upon, among other things, the completion or concurrent consummation of the Proposed Business Combination.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potential PIPE Investments, we entered into arrangements with certain placement agents pursuant to which such placement agents and certain other parties will receive up to 4.0% of funds raised in connection with the PIPE Investment upon the successful consummation of a PIPE Investment subject to the payment of minimum amounts to certain placement agents. If the PIPE Investment does not occur, we will only be required to pay the minimum amount and will not be required to pay these contingent fees. The actual amount of fees payable will be based upon the final amounts in the PIPE Investment. No fees will be payable to the placement agents in connection with their role as placement agents in the event that the Company does not consummate the Proposed Business Combination.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231F20"/>
          <w:sz w:val="20"/>
        </w:rPr>
      </w:pPr>
      <w:r>
        <w:rPr>
          <w:rFonts w:ascii="Times New Roman;sans-serif" w:hAnsi="Times New Roman;sans-serif"/>
          <w:b/>
          <w:i/>
          <w:color w:val="231F20"/>
          <w:sz w:val="20"/>
        </w:rPr>
        <w:t>Deferred Discount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execution of the Business Combination Agreement, we, AMCM, and the representatives of the several underwriters in connection with the Company’s Initial Public Offering agreed to adjust the aggregate amount payable to the underwriters as a deferred underwriting fee and to AMCM as a deferred Initial Public Offering advisory fee to an aggregate amount of $8,359,410.</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Extension, we issued an aggregate of 12,500,000 Class A ordinary shares to our Sponsor upon the conversion by our Sponsor of an equal number of Class B ordinary shares. The 12,500,000 Class A ordinary shares issued in connection with the Conversion are subject to the same restrictions as applied to the Class B ordinary shares before the Conversion, including, among other things, certain transfer restrictions, waiver of redemption rights and the obligation to vote in favor of an initial business combination as described in our Initial Public Offering prospectus. Following the Conversion and redemptions in connection with the Shareholder Meeting, there are 61,859,712 Class A ordinary shares and no Class B ordinary shares issued and outstanding.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Extension Promissory Note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approval of the Extension, our Sponsor agreed to make monthly deposits directly to the Trust Account of $0.02 for each outstanding Class A ordinary share, other than Class A ordinary shares held by our Sponsor upon any conversion of Class B ordinary shares. The Contributions will be repaid in full at the time of the closing of the Proposed Business Combination. If the Proposed Business Combination does not close, 50% of the Contribution will be an obligation of Kodiak and 50% will be an obligation of the Company pursuant to a non-interest bearing, unsecured promissory note (the “Extension Promissory Note”) issued by us to our Sponsor. Such Contributions, which will be paid monthly, began on April 25, 2025 and thereafter will be made on the twenty-fifth day of each month (or if such day is not a business day, on the business day immediately preceding such day) until the earlier of (i) the consummation of an initial business combination, and (ii) January 26, 2026 (the earlier of (i) and (ii), the “Maturity Date”). The Extension Promissory Note does not bear any interest, and is repayable by us to our Sponsor upon the Maturity Date. The Maturity Date may be accelerated upon the occurrence of certain events of default. Any outstanding principal under the Extension Promissory Note may be prepaid at any time by us, at our election and without penalty. In April 2025, the Sponsor deposited approximately $1.0 million into the Trust Account.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activity for the period from March 15, 2021 (inception) through March 31, 2025 related to our formation and the preparation for the Initial Public Offering, and since the closing of the Initial Public Offering, the search for a prospective initial business combination. We will not generate any operating revenues until after the completion of our initial business combination. We generate non-operating income in the form of interest income on investments. We expect to incur increased expenses as a result of being a public company (for legal, financial reporting, accounting and auditing compliance), as well as for due diligence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had net income of $2,992,795, which consisted of investment income earned on investments held in Trust Account of $5,698,441, offset by general and administrative costs of $2,705,646.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had net income of $6,393,390, which consisted of investment income earned on investments held in Trust Account of $6,848,902, offset by general and administrative costs of $455,512.</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Going Concern Considerations, Liquidity and 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$657,314 in cash held outside of the Trust Account and a working capital deficit of $2,345,233.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to date have been satisfied through a contribution of $25,000 from our Sponsor to cover certain expenses in exchange for the issuance of the Class B ordinary shares, a loan of $366,781 from our Sponsor pursuant to the Promissory Note (see Note 4) and the proceeds from the consummation of the Private Placement not held in the Trust Account. On April 25, 2023, the total balance of $366,781 of the Promissory Note was fully repaid to the Sponsor. In addition, in order to finance transaction costs in connection with a business combination, our Sponsor or an affiliate of our Sponsor may provide us with Working Capital Loans. As of March 31, 2025 and December 31, 2024, there were no amounts outstanding under any Working Capital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assessment of going concern considerations in accordance with Accounting Standards Update (“ASU”) 2014-15, “Disclosures of Uncertainties about an Entity’s Ability to Continue as a Going Concern,” our management has determined that the extended mandatory liquidation of the Trust Account, as approved on April 22, 2025, should a business combination not occur by January 26, 2026, raises substantial doubt about our ability to continue as a going concern for a period of time within one year after the date that the unaudited condensed financial statements are issued. Our management plans to complete the initial business combination prior to the extended mandatory liquidation date of the Trust Account and expects to receive financing from our Sponsor or the affiliates of our Sponsor to meet its obligations through the time of liquidation of the Trust Account or the completion of the initial business combination. There is no financing that is currently committed and no assurance that our plans to consummate the initial business combination will be successful or successful within the Combination Period. The unaudited condensed financial statements do not include any adjustments that might result from our inability to continue as a going concern.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evaluate the impact of persistent inflation and fluctuations in interest rates, financial market instability and certain geopolitical events. Management has concluded that while it is reasonably possible that the risks and uncertainties related to or resulting from these events could have a negative effect on our financial position, results of operations and/or ability to complete an initial business combination, we cannot at this time fully predict the likelihood of one or more of the above events, their duration or magnitude or the extent to which they may negatively impact our business and our ability to complete an initial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long-term debt obligations, capital lease obligations, operating lease obligations, purchase obligations, off-balance sheet arrangements or long-term liabilities.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Administrative Service Fee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we entered into an agreement to pay our Sponsor a monthly fee of $16,667 for general and administrative services including office space, utilities, secretarial support and administrative services. This arrangement will terminate upon completion of our initial business combination or the distribution of the Trust Account to the public shareholders.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Underwriting Agreement and Advisory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underwriters are entitled to a deferred fee of $17,500,000. The deferred fee will be waived by the underwriters in the event that we do not complete an initial business combination, subject to the terms of the underwriting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we also engaged AMCM, an affiliate of the Company’s Sponsor, to provide consulting and advisory services to us in connection with the Initial Public Offering, for which it will receive a deferred advisory fee of $3,500,000, payable solely in the event that we complete the initial business combination. The fees payable to AMCM will be reimbursed from a portion of the fees to the underwriters.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Subsequently, prior to the execution of the Business Combination Agreement, we, AMCM, and the representatives of the several underwriters in connection with our Initial Public Offering agreed to adjust the aggregate amount payable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underwriters as a deferred underwriting fee and to AMCM as a deferred Initial Public Offering advisory fee to an aggregate amount of $8,359,410.</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Contingent Fees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 fee arrangement with a service provider pursuant to which certain transaction fees and service fees will become payable only if we consummate a business combination. If the business combination does not occur, we will not be required to pay these contingent fees. As of March 31, 2025, the amount of these contingent fees with the service provider was $732,045.</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potential PIPE Investments, we entered into arrangements with certain placement agents pursuant to which such placement agents and certain other parties will receive up to 4.0% of funds raised in connection with the PIPE Investment upon the successful consummation of a PIPE Investment subject to the payment of minimum amounts to certain placement agents. If the PIPE Investment does not occur, we will only be required to pay the minimum amount and will not be required to pay these contingent fees. The actual amount of fees payable will be based upon the final amounts in the PIPE Investment. No fees will be payable to the placement agents in connection with their role as placement agents in the event that the Company does not consummate the Proposed Business Combination.</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unaudited condensed financial statements, which have been prepared in accordance with GAAP. The preparation of our unaudited condensed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estimates: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Class A Ordinary Shares Subject to Possible Redemption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(deficit). Our Class A ordinary shares feature certain redemption rights that are considered to be outside of our control and subject to the occurrence of uncertain future events. Accordingly, as of March 31, 2025 and December 31, 2024, 50,000,000 Class A ordinary shares, subject to possible redemption are presented as temporary equity, outside of the shareholders’ deficit section of our condensed balance sheets. We recognize changes in redemption value immediately as they occur and adjust the carrying value of redeemable ordinary shares to equal the redemption value at the end of each reporting period. This method would view the end of the reporting period as if it were also the redemption date for the security.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rPr>
        <w:t>Net Income</w:t>
      </w:r>
      <w:r>
        <w:rPr>
          <w:color w:val="000000"/>
        </w:rPr>
        <w:t xml:space="preserve"> </w:t>
      </w:r>
      <w:r>
        <w:rPr>
          <w:rFonts w:ascii="Times New Roman;sans-serif" w:hAnsi="Times New Roman;sans-serif"/>
          <w:b/>
          <w:i/>
          <w:color w:val="000000"/>
          <w:sz w:val="20"/>
        </w:rPr>
        <w:t>Per Ordinary Share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comply with the accounting and disclosure requirements of FASB ASC Topic 260, “Earnings Per Share”. We have two classes of shares, which are referred to as Class A ordinary shares and Class B ordinary shares. Income and losses are shared pro rata between the two classes of shares. Net income (loss) per ordinary share is computed by dividing net income by the weighted average number of ordinary shares outstanding during the period. Accretion associated with the redeemable Class A ordinary shares is excluded from earnings per share as the redemption value approximates fair value.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diluted net income per share does not consider the effect of the public warrants issued in connection with the Initial Public Offering and the sale of the Private Placement Warrants, because the exercise of the warrants is contingent upon the occurrence of future events.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does not believe that any recently issued, but not yet effective, accounting pronouncement if currently adopted would have a material effect on the accompanying unaudited condensed financial statements.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JOBS Act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financial statements may not be comparable to companies that comply with new or revised accounting pronouncements as of public company effective dates.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the information otherwise required under this item.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we conducted an evaluation of the effectiveness of our disclosure controls and procedures as of the end of the fiscal quarter ended March 31, 2025, as such term is defined in Rules 13a-15(e) and 15d-15(e) under the Exchange Act. Based on this evaluation, our principal executive officer and principal financial officer have concluded that our disclosure controls and procedures were effective as of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our executive officers, directors, our Sponsor and its respective affiliates and/or any of their respective principals and employees are subject to legal proceedings, and as a result, incur significant costs and expenses in connection with such legal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and our Sponsor and its affiliates are also subject to extensive regulation, which, from time to time, results in requests for information from us or our Sponsor or its affiliates, or legal or regulatory proceedings or investigations against us or our Sponsor or its affiliates. We incur significant costs and expenses in connection with any such proceedings, information requests and investigations.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As of the date of this Quarterly Report, there have been no material changes with respect to those risk factors disclosed in the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2024 filed by the Company with the SEC on March 12, 2025, except for the below additional risks which could result in a significant or material adverse effect on our results of operations or financial condition. Additional risk factors not presently known to us or that we currently deem immaterial may also impair our business or results of operations.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There is substantial doubt about AACT’s ability to continue as a “going concern.”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Amended and Restated Memorandum and Articles of Association, AACT must consummate an initial business combination by January 26, 2026, or such earlier date as AACT’s board of directors (the “AACT Board”) may approve, or such later date as AACT’s shareholders may approve, in accordance with the AACT’s Amended and Restated Memorandum and Articles of Association. Although AACT intends to complete an initial business combination within the Combination Period, there can be no assurance that AACT will be able to consummate an initial business combination by this time. If an initial business combination is not consummated by the end of AACT’s Combination Period, there will be a mandatory liquidation of the Trust Account. Accordingly, AACT’s management has determined that the mandatory liquidation of the Trust Account, should an initial business combination not occur, raises substantial doubt about AACT’s ability to continue as a going concern. The unaudited condensed financial statements contained elsewhere in this report do not include any adjustments that might result from AACT’s inability to continue as a going concern.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Proposed Business Combination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consummation of the Proposed Business Combination is subject to a number of conditions and if those conditions are not satisfied or waived, any definitive agreement relating to the Proposed Business Combination may be terminated in accordance with its terms and the Proposed Business Combination may not be completed.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the Business Combination Agreement is approved by the shareholders of AACT, specified conditions must be satisfied or waived before the parties to the Business Combination Agreement are obligated to complete the Proposed Business Combination. AACT does not control the satisfaction of all such conditions. AACT and Kodiak may not satisfy all of the closing conditions in the Business Combination Agreement. If the closing conditions are not satisfied or waived, the Proposed Business Combination will not occur, or will be delayed pending later satisfaction or waiver, and such delay may cause AACT and Kodiak to each lose some or all of the intended benefits of the Proposed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Some of AACT’s officers and directors may have conflicts of interest that may influence or have influenced them to support or approve the Proposed Business Combination or other proposals described in the Proxy Statement/Prospectus without regard to your interests or in determining whether Kodiak is an appropriate target for AACT’s initial business combination.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2021, the Sponsor paid $25,000 to cover certain of the offering costs of the Initial Public Offering in consideration of Class B ordinary shares. Prior to the initial investment of $25,000 by the Sponsor, AACT had no assets. As a result of various transactions, including the Conversion, the Sponsor (together with its permitted transferees) currently holds an aggregate of 12,500,000 shares of Class A ordinary shares that were converted from Class B ordinary shares (the “Converted Class A Ordinary Shares”). The Converted Class A Ordinary Shares may become worthless if we do not complete an initial business combination. In addition, the Sponsor purchased an aggregate of 14,300,000 Private Placement Warrants for an aggregate purchase price of $14,300,000, each exercisable to purchase one Class A ordinary share at $11.50 per share, at a price of $1.00 per warrant, in a private placement that closed simultaneously with the closing of the Initial Public Offering. Pursuant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Sponsor Support Agreement, 50% of the Sponsor’s Converted Class A Ordinary Shares are subject to vesting during the Earn Out Period (as defined in the Proxy Statement/Prospectus). If we do not consummate an initial business combination within the period ending on January 26, 2026, or such earlier date as our board of directors may approve or such later date as the shareholders may approve in accordance with the Amended and Restated Memorandum and Articles of Association, the Private Placement Warrants may expire worthless. Additionally, AMCM, an affiliate of the Sponsor, acted as an advisor to AACT in connection with the Initial Public Offering and will receive a deferred Initial Public Offering advisory fee of $2,777,777 in connection with the closing of the Proposed Business Combination. The personal and financial interests of certain of AACT’s officers and directors may influence or have influenced them in identifying and selecting a target for our initial business combination, completing the Proposed Business Combination and the operation of AACT following the Proposed Business Combination.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members of the board of directors of AACT (the “AACT Board”) and AACT’s executive officers, and their respective affiliates have incurred out-of-pocket expenses in connection with performing due diligence on suitable targets for business combinations and the negotiation of the Proposed Business Combination. At the Closing, the Sponsor, members of the AACT Board and AACT’s officers, and their respective affiliates, will be reimbursed for any out-of-pocket expenses incurred in connection with activities on AACT’s behalf, such as identifying potential target businesses and performing due diligence on suitable targets for business combinations. If a business combination is not completed within the Combination Period the Sponsor, members of the AACT Board and AACT’s officers, and any of their respective affiliates will not be eligible for any such reimbursement. On April 22, 2025, AACT extended the Combination Period from April 25, 2025 to January 26, 2026. In connection with the Extension, on April 16, 2025, the Sponsor agreed to make monthly deposits directly to the Trust Account of $0.02 for each outstanding Class A ordinary share, other than the Converted Class A Ordinary Shares. Beginning April 25, 2025, the Sponsor commenced making monthly contributions. The Sponsor shall make a Contribution on the 25th day of each month (or if such day is not a business day, on the business day immediately preceding such day) until the Maturity Date. The Contributions will be repaid in full by Kodiak at the time of Closing. In the event that the Proposed Business Combination does not close, 50% of the Contributions will be an obligation of Kodiak and 50% will be an obligation of AACT. AACT may use a portion of proceeds held outside the Trust Account to repay this loan, but no proceeds held in the Trust Account would be used to repay the Contributions. In addition, our Sponsor has extended to us Overfunding Loans of $5,000,000, which will be repaid upon the closing of an initial business combination or converted into warrants of the post-business combination entity at a price of $1.00 per warrant (or any combination of repayment or conversion), at the Sponsor’s discretion, which warrants will be identical to the Private Placement Warrant. If we do not complete an initial business combination, we will not repay the Overfunding Loans from the Trust Account, and we would likely not have other available funds to repay the Overfunding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officers and members of the AACT Board also participate in arrangements that may provide them with other interests in the Proposed Business Combination that are different from yours, including arrangements for their continued service as directors of AACT after the consummation of the Proposed Business Combination.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Sponsor has agreed to vote its Converted Class A Ordinary Shares, and the Sponsor, members of the AACT Board and AACT’s officers have agreed (and their permitted transferees will agree) to vote any public shares acquired in or after the Initial Public Offering in favor of our initial business combination. The Sponsor and each of the members of the AACT Board and its executive officers have also agreed to waive their redemption rights with respect to any Converted Class A Ordinary Shares and any public shares in connection with the redemption of Class A ordinary shares or Class B ordinary shares upon the completion of an initial business combination.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others, these interests may influence or have influenced the Sponsor and the executive officers and members of the AACT Board to support or approve the Proposed Business Combination and the other proposals described in the Proxy Statement/Prospectus. The personal and financial interests of our officers and certain members of the AACT Board may have influenced their motivation in identifying and selecting Kodiak and seeking to complete a business combination with Kodiak, and may influence their operation of AACT following the Proposed Business Combination. This risk may become more acute as the end of the Proposed Business Combination nears.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During the pendency of the Proposed Business Combination, AACT will not be able to solicit, initiate or take any action to facilitate or encourage any inquiries into the making, submission or announcement of, or enter into a business combination with another party because of restrictions in the Business Combination Agreement. Furthermore, certain provisions of the Business Combination Agreement will discourage third parties from submitting alternative takeover proposals, including proposals that may be superior to the arrangements contemplated by the Business Combination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Covenants in the Business Combination Agreement impede the ability of AACT to make or consider other acquisitions or complete other transactions that are not in the ordinary course of business pending completion of the Proposed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As a result, AACT may be at a disadvantage to its competitors during that period. While the Proposed Business Combination Agreement is in effect, neither AACT nor Kodiak may solicit, assist, initiate, engage or facilitate the making, submission or announcement of or encourage any alternative acquisition proposal, such as a merger, material sale of assets or equity interests or other business combination, with any third party, even though any such alternative acquisition could be more favorable to AACT’s shareholders than the Proposed Business Combination. If the Proposed Business Combination is not completed, these provisions will make it more difficult to complete an alternative business combination following the termination of the Business Combination Agreement due to the passage of time during which these provisions have remained in effect.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exercise of AACT Board members’ and executive officers’ discretion in agreeing to changes or waivers in the terms of the Proposed Business Combination may result in a conflict of interest when determining whether such changes to the terms of the Proposed Business Combination or waivers of conditions are appropriate and in AACT’s shareholders’ best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period leading up to the closing of the Proposed Business Combination, events may occur that, pursuant to the Business Combination Agreement, would require AACT to consider agreeing to amend the Business Combination Agreement, to consent to certain actions taken by Kodiak or to waive rights to which AACT is entitled under the Business Combination Agreement. Such events could arise because of changes in the course of Kodiak’s business, a request by Kodiak to undertake actions that would otherwise be prohibited by the terms of the Business Combination Agreement or the occurrence of other events that would have a material adverse effect on Kodiak’s business and would entitle AACT to terminate the Business Combination Agreement. In any such circumstances, it would be at AACT’s discretion, acting through the AACT Board and the special committee of the AACT Board, to grant its consent or waive those rights. The existence of financial and personal interests of one or more members of the AACT Board described in the Proxy Statement/Prospectus may result in a conflict of interest on the part of such director(s) between what such director may believe is best for AACT and its shareholders and what such director may believe is best for themselves in determining whether or not to take the requested action. As of the date of this Quarterly Report, AACT does not believe there will be any changes or waivers that members of the AACT Board and AACT’s executive officers would be likely to make after shareholder approval of the Business Combination Proposal (as defined in the Proxy Statement/Prospectus) has been obtained. While certain changes could be made without further shareholder approval, AACT will circulate a new or amended proxy statement/prospectus and resolicit AACT’s shareholders if changes are required with respect to the terms of the transaction that would have a material impact on its shareholders are required prior to the vote on the Business Combination Proposal.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AACT’s executive officers and directors and their affiliates may enter into agreements concerning AACT’s securities prior to the shareholder meeting in connection with the Proposed Business Combination, which may have the effect of increasing the likelihood of completion of the Proposed Business Combination or decreasing the value of the AACT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prior to the shareholder meeting in connection with the Proposed Business Combination, during a period when they are not then aware of any material non-public information regarding AACT or its securities, AACT’s executive officers and directors and their affiliates may enter into a written plan to purchase AACT’s securities pursuant to Rule 10b5-1 of the Exchange Act, and may engage in other public market purchases, as well as private purchases, of securities. Further, at any time prior to the shareholder meeting in connection with the Proposed Business Combination, during a period when they are not then aware of any material non-public information regarding AACT or its securities, AACT’s executive officers and directors and their respective affiliates may: (i) purchase shares from institutional and other holders who vote, or indicate an intention to vote, against the Business Combination Proposal or the other shareholder proposals as described in the Proxy Statement/Prospectus (the “Shareholder Proposals”), or who elect to redeem, or indicate an intention to redeem, public shares; (ii) execute agreements to purchase such shares from such holders in the future; and (iii) enter into transactions with such holders to provide such holders with incentives to acquire public shares, vote their public shares in favor of the Business Combination Proposal or the other Shareholder Proposals or not redeem their public shares. Such an agreement may include a contractual acknowledgement that such shareholder, although still the record holder of Class A ordinary shares, is no longer the beneficial owner thereof and therefore agrees not to exercise its redemption rights. In the event that AACT’s executive officers and directors or their affiliates purchase shares in privately negotiated transactions from public shareholders who have already elected to exercise their redemption rights, such selling shareholders would be required to revoke their prior elections to redeem their public shares. While the exact nature of any such incentives has not been determined, they might include, without limitation, arrangements to protect such investors or holders against potential loss in value of their public shares, including the granting of put options and the transfer of shares or Private Placement Warrants owned by the Sponsor for nominal value to such investors or holders.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such share purchases and other transactions by AACT’s executive officers and directors and their respective affiliates would be to increase the likelihood of satisfaction of the requirements that the holders of the requisite number of Class A ordinary shares present and voting at the shareholder meeting in connection with the Proposed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Combination vote in favor of the Business Combination Proposal and the other Shareholder Proposals when it appears that such requirement would otherwise not be met.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such arrangements may have a depressive effect on the price of the Class A ordinary shares. For example, as a result of these arrangements, an investor may have the ability to effectively purchase shares at a price lower than market and may therefore be more likely to sell the shares it owns, either prior to or immediately after the shareholder meeting in connection with the Proposed Business Combination.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AACT’s directors and officers and their affiliates have not entered into any such agreements. AACT will file a Current Report on Form 8-K to disclose arrangements entered into or significant purchases made by any of the aforementioned persons that would affect the vote on the Business Combination Proposal or the redemption threshold. Any such report will include descriptions of any arrangements entered into or significant purchases by any of the aforementioned persons.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from Registered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Unregistered Sales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did not sell any equity securities during the quarter ended March 31,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Initial Public Offering, we incurred offering costs of $28,550,129 (including deferred underwriting commissions of $17,500,000). Other incurred offering costs consisted principally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$505,000,000 of the net proceeds from our Initial Public Offering and certain of the proceeds of the private placement and the Overfunding Loans were placed in the Trust Account.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the proceeds from the Initial Public Offering and certain of the proceeds of the private placement and the Overfunding Loans as is described in the Company’s final prospectus related to the Initial Public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none of our directors or executive officers adopted or terminated any contract, instruction or written plan for the purchase or sale of our securities to satisfy the affirmative defense conditions of Rule 10b5-1(c) or any “non-Rule 10b5-1 trading arrangement,” as such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4"/>
        <w:gridCol w:w="276"/>
        <w:gridCol w:w="277"/>
        <w:gridCol w:w="109"/>
        <w:gridCol w:w="109"/>
        <w:gridCol w:w="109"/>
        <w:gridCol w:w="2714"/>
        <w:gridCol w:w="2598"/>
        <w:gridCol w:w="3699"/>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April 14, 2025, by and among Ares Acquisition Corporation II, Kodiak Robotics Inc. and AAC II Merger Sub, Inc. (incorporated by reference to Exhibit 2.1 to our Current Report on Form 8-K, filed with the SEC on April 14, 2025).</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Memorandum and Articles of Association (incorporated by reference to Exhibit 3.1 to our Current Report on Form 8-K, filed with the SEC on April 26, 2023).</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Support Agreement, dated as of April 14, 2025, by and among Ares Acquisition Corporation II, Kodiak Robotics, Inc. and Ares Acquisition Holdings II LP (incorporated by reference to Exhibit 10.1 to our Current Report on Form 8-K, filed with the SEC on April 14, 2025).</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Company Support Agreement, by and among Ares Acquisition Corporation II, Kodiak Robotics, Inc. and the persons set forth on Schedule A thereto (incorporated by reference to Exhibit 10.2 to our Current Report on Form 8-K, filed with the SEC on April 14, 2025).</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Subscription Agreement (incorporated by reference to Exhibit 10.3 to our Current Report on Form 8-K, filed with the SEC on April 14, 2025).</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Promissory Note, dated as of April 22, 2025, by and among Ares Acquisition Corporation II and Ares Acquisition Holdings II LP (incorporated by reference to Exhibit 10.1 to our Current Report on Form 8-K, filed with the SEC on April 16, 2025)</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ciiq12025exhibit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Rules 13a-14(a) and 15d-14(a) under the Securities Exchange Act of 1934, as Adopted Pursuant to Section 302 of the Sarbanes-Oxley Act of 2002.</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ciiq12025exhibit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Rules 13a-14(a) and 15d-14(a) under the Securities Exchange Act of 1934, as Adopted Pursuant to Section 302 of the Sarbanes-Oxley Act of 2002.</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ciiq12025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ciiq12025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These certifications are not deemed filed by the SEC and are not to be incorporated by reference in any filing we make under the Securities Act of 1933 or the Securities Exchange Act of 1934, irrespective of any general incorporation language in any filings.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bd9f400c8ff4c7bbccc16b1245faa4f_19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7659" w:type="dxa"/>
        <w:jc w:val="left"/>
        <w:tblInd w:w="0" w:type="dxa"/>
        <w:tblLayout w:type="fixed"/>
        <w:tblCellMar>
          <w:top w:w="28" w:type="dxa"/>
          <w:left w:w="28" w:type="dxa"/>
          <w:bottom w:w="28" w:type="dxa"/>
          <w:right w:w="28" w:type="dxa"/>
        </w:tblCellMar>
      </w:tblPr>
      <w:tblGrid>
        <w:gridCol w:w="667"/>
        <w:gridCol w:w="586"/>
        <w:gridCol w:w="592"/>
        <w:gridCol w:w="369"/>
        <w:gridCol w:w="369"/>
        <w:gridCol w:w="369"/>
        <w:gridCol w:w="369"/>
        <w:gridCol w:w="369"/>
        <w:gridCol w:w="369"/>
        <w:gridCol w:w="1053"/>
        <w:gridCol w:w="1053"/>
        <w:gridCol w:w="1494"/>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ACQUISITION CORPORATION II</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Kaplan</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Kaplan</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Co-Chairman </w:t>
              <w:br/>
              <w:t>(Principal Executive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Jarrod Phillips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Jarrod Phillips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 </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6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B. Kaplan,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Ares Acquisition Corporation II;</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355"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208"/>
        <w:gridCol w:w="208"/>
        <w:gridCol w:w="213"/>
        <w:gridCol w:w="1038"/>
        <w:gridCol w:w="1038"/>
        <w:gridCol w:w="147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Kaplan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Kaplan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Co-Chairman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Jarrod Phillips,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Ares Acquisition Corporation II;</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56"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208"/>
        <w:gridCol w:w="208"/>
        <w:gridCol w:w="213"/>
        <w:gridCol w:w="600"/>
        <w:gridCol w:w="600"/>
        <w:gridCol w:w="855"/>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Jarrod Phillips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Jarrod Phillips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Ares Acquisition Corporation II (the “Company”) on Form 10-Q for the quarter ended March 31, 2025, as filed with the Securities and Exchange Commission on the date hereof (the “Report”), I, David B. Kaplan, Chief Executive Officer and Co-Chairman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6355"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208"/>
        <w:gridCol w:w="208"/>
        <w:gridCol w:w="213"/>
        <w:gridCol w:w="1038"/>
        <w:gridCol w:w="1038"/>
        <w:gridCol w:w="147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Kaplan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Kaplan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Co-Chairman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Ares Acquisition Corporation II (the “Company”) on Form 10-Q for the quarter ended March 31, 2025, as filed with the Securities and Exchange Commission on the date hereof (the “Report”), I, Jarrod Phillips, Chief Financial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810"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208"/>
        <w:gridCol w:w="208"/>
        <w:gridCol w:w="213"/>
        <w:gridCol w:w="586"/>
        <w:gridCol w:w="586"/>
        <w:gridCol w:w="837"/>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Jarrod Phillips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Jarrod Phillips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53138/000162828025012406/aac-20241231.htm" TargetMode="External"/><Relationship Id="rId3" Type="http://schemas.openxmlformats.org/officeDocument/2006/relationships/hyperlink" Target="https://www.sec.gov/ix?doc=/Archives/edgar/data/0001853138/000162828025012406/aac-20241231.htm" TargetMode="External"/><Relationship Id="rId4" Type="http://schemas.openxmlformats.org/officeDocument/2006/relationships/hyperlink" Target="https://www.sec.gov/ix?doc=/Archives/edgar/data/0001853138/000119312525079657/d948522d8k.htm" TargetMode="External"/><Relationship Id="rId5" Type="http://schemas.openxmlformats.org/officeDocument/2006/relationships/hyperlink" Target="https://www.sec.gov/Archives/edgar/data/1853138/000119312523118586/d385718dex31.htm" TargetMode="External"/><Relationship Id="rId6" Type="http://schemas.openxmlformats.org/officeDocument/2006/relationships/hyperlink" Target="https://www.sec.gov/Archives/edgar/data/1853138/000119312525079657/d948522dex101.htm" TargetMode="External"/><Relationship Id="rId7" Type="http://schemas.openxmlformats.org/officeDocument/2006/relationships/hyperlink" Target="https://www.sec.gov/Archives/edgar/data/1853138/000119312525079657/d948522dex102.htm" TargetMode="External"/><Relationship Id="rId8" Type="http://schemas.openxmlformats.org/officeDocument/2006/relationships/hyperlink" Target="https://www.sec.gov/Archives/edgar/data/1853138/000119312525079657/d948522dex103.htm" TargetMode="External"/><Relationship Id="rId9" Type="http://schemas.openxmlformats.org/officeDocument/2006/relationships/hyperlink" Target="https://www.sec.gov/Archives/edgar/data/1853138/000119312525082209/d944306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20682</Words>
  <Characters>113199</Characters>
  <CharactersWithSpaces>133314</CharactersWithSpaces>
  <Paragraphs>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