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0" w:lineRule="exact"/>
        <w:rPr>
          <w:sz w:val="24"/>
          <w:szCs w:val="24"/>
          <w:color w:val="auto"/>
        </w:rPr>
      </w:pPr>
    </w:p>
    <w:p>
      <w:pPr>
        <w:jc w:val="center"/>
        <w:ind w:left="420" w:right="660"/>
        <w:spacing w:after="0" w:line="214" w:lineRule="auto"/>
        <w:rPr>
          <w:sz w:val="20"/>
          <w:szCs w:val="20"/>
          <w:color w:val="auto"/>
        </w:rPr>
      </w:pPr>
      <w:r>
        <w:rPr>
          <w:rFonts w:ascii="Times New Roman" w:cs="Times New Roman" w:eastAsia="Times New Roman" w:hAnsi="Times New Roman"/>
          <w:sz w:val="14"/>
          <w:szCs w:val="14"/>
          <w:b w:val="1"/>
          <w:bCs w:val="1"/>
          <w:color w:val="auto"/>
        </w:rPr>
        <w:t>This is a confidential amended draft registration statement submission to the United States Securities and Exchange Commission on October 1, 2021 under the Securities Act of 1933, as amended.</w:t>
      </w:r>
    </w:p>
    <w:p>
      <w:pPr>
        <w:spacing w:after="0" w:line="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4"/>
          <w:szCs w:val="14"/>
          <w:b w:val="1"/>
          <w:bCs w:val="1"/>
          <w:color w:val="auto"/>
        </w:rPr>
        <w:t>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39370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99"/>
        <w:spacing w:after="0" w:line="238" w:lineRule="auto"/>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99"/>
        <w:spacing w:after="0" w:line="183"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MENDMENT</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22"/>
          <w:szCs w:val="22"/>
          <w:b w:val="1"/>
          <w:bCs w:val="1"/>
          <w:color w:val="auto"/>
        </w:rPr>
        <w:t>. 1</w:t>
      </w:r>
    </w:p>
    <w:p>
      <w:pPr>
        <w:jc w:val="center"/>
        <w:ind w:right="-99"/>
        <w:spacing w:after="0" w:line="212" w:lineRule="auto"/>
        <w:rPr>
          <w:sz w:val="20"/>
          <w:szCs w:val="20"/>
          <w:color w:val="auto"/>
        </w:rPr>
      </w:pPr>
      <w:r>
        <w:rPr>
          <w:rFonts w:ascii="Times New Roman" w:cs="Times New Roman" w:eastAsia="Times New Roman" w:hAnsi="Times New Roman"/>
          <w:sz w:val="18"/>
          <w:szCs w:val="18"/>
          <w:b w:val="1"/>
          <w:bCs w:val="1"/>
          <w:color w:val="auto"/>
        </w:rPr>
        <w:t>TO</w:t>
      </w:r>
    </w:p>
    <w:p>
      <w:pPr>
        <w:jc w:val="center"/>
        <w:ind w:right="-99"/>
        <w:spacing w:after="0" w:line="180" w:lineRule="auto"/>
        <w:rPr>
          <w:sz w:val="20"/>
          <w:szCs w:val="20"/>
          <w:color w:val="auto"/>
        </w:rPr>
      </w:pPr>
      <w:r>
        <w:rPr>
          <w:rFonts w:ascii="Times New Roman" w:cs="Times New Roman" w:eastAsia="Times New Roman" w:hAnsi="Times New Roman"/>
          <w:sz w:val="25"/>
          <w:szCs w:val="25"/>
          <w:b w:val="1"/>
          <w:bCs w:val="1"/>
          <w:color w:val="auto"/>
        </w:rPr>
        <w:t>FORM S-1</w:t>
      </w:r>
    </w:p>
    <w:p>
      <w:pPr>
        <w:jc w:val="center"/>
        <w:ind w:right="-99"/>
        <w:spacing w:after="0" w:line="183" w:lineRule="auto"/>
        <w:rPr>
          <w:sz w:val="20"/>
          <w:szCs w:val="20"/>
          <w:color w:val="auto"/>
        </w:rPr>
      </w:pPr>
      <w:r>
        <w:rPr>
          <w:rFonts w:ascii="Times New Roman" w:cs="Times New Roman" w:eastAsia="Times New Roman" w:hAnsi="Times New Roman"/>
          <w:sz w:val="28"/>
          <w:szCs w:val="28"/>
          <w:b w:val="1"/>
          <w:bCs w:val="1"/>
          <w:color w:val="auto"/>
        </w:rPr>
        <w:t>REGISTRATION STATEMENT</w:t>
      </w: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jc w:val="center"/>
        <w:ind w:right="-99"/>
        <w:spacing w:after="0" w:line="225" w:lineRule="auto"/>
        <w:rPr>
          <w:sz w:val="20"/>
          <w:szCs w:val="20"/>
          <w:color w:val="auto"/>
        </w:rPr>
      </w:pPr>
      <w:r>
        <w:rPr>
          <w:rFonts w:ascii="Times New Roman" w:cs="Times New Roman" w:eastAsia="Times New Roman" w:hAnsi="Times New Roman"/>
          <w:sz w:val="40"/>
          <w:szCs w:val="40"/>
          <w:b w:val="1"/>
          <w:bCs w:val="1"/>
          <w:color w:val="auto"/>
        </w:rPr>
        <w:t>Ares Acquisition Corporation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-191135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73660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7"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720" w:type="dxa"/>
            <w:vAlign w:val="bottom"/>
          </w:tcPr>
          <w:p>
            <w:pPr>
              <w:jc w:val="center"/>
              <w:ind w:right="1014"/>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38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6770</w:t>
            </w:r>
          </w:p>
        </w:tc>
        <w:tc>
          <w:tcPr>
            <w:tcW w:w="2160" w:type="dxa"/>
            <w:vAlign w:val="bottom"/>
          </w:tcPr>
          <w:p>
            <w:pPr>
              <w:jc w:val="center"/>
              <w:ind w:left="1114"/>
              <w:spacing w:after="0"/>
              <w:rPr>
                <w:sz w:val="20"/>
                <w:szCs w:val="20"/>
                <w:color w:val="auto"/>
              </w:rPr>
            </w:pPr>
            <w:r>
              <w:rPr>
                <w:rFonts w:ascii="Times New Roman" w:cs="Times New Roman" w:eastAsia="Times New Roman" w:hAnsi="Times New Roman"/>
                <w:sz w:val="14"/>
                <w:szCs w:val="14"/>
                <w:b w:val="1"/>
                <w:bCs w:val="1"/>
                <w:color w:val="auto"/>
              </w:rPr>
              <w:t>98-1592112</w:t>
            </w:r>
          </w:p>
        </w:tc>
      </w:tr>
      <w:tr>
        <w:trPr>
          <w:trHeight w:val="128"/>
        </w:trPr>
        <w:tc>
          <w:tcPr>
            <w:tcW w:w="2720" w:type="dxa"/>
            <w:vAlign w:val="bottom"/>
          </w:tcPr>
          <w:p>
            <w:pPr>
              <w:jc w:val="center"/>
              <w:ind w:right="994"/>
              <w:spacing w:after="0" w:line="12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820" w:type="dxa"/>
            <w:vAlign w:val="bottom"/>
          </w:tcPr>
          <w:p>
            <w:pPr>
              <w:jc w:val="center"/>
              <w:ind w:right="34"/>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2160" w:type="dxa"/>
            <w:vAlign w:val="bottom"/>
          </w:tcPr>
          <w:p>
            <w:pPr>
              <w:jc w:val="center"/>
              <w:ind w:left="1114"/>
              <w:spacing w:after="0" w:line="128"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720" w:type="dxa"/>
            <w:vAlign w:val="bottom"/>
          </w:tcPr>
          <w:p>
            <w:pPr>
              <w:jc w:val="center"/>
              <w:ind w:right="101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8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2160" w:type="dxa"/>
            <w:vAlign w:val="bottom"/>
          </w:tcPr>
          <w:p>
            <w:pPr>
              <w:jc w:val="center"/>
              <w:ind w:left="111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c/o Ares Management LLC</w:t>
      </w:r>
    </w:p>
    <w:p>
      <w:pPr>
        <w:jc w:val="center"/>
        <w:ind w:right="-99"/>
        <w:spacing w:after="0" w:line="201" w:lineRule="auto"/>
        <w:rPr>
          <w:sz w:val="20"/>
          <w:szCs w:val="20"/>
          <w:color w:val="auto"/>
        </w:rPr>
      </w:pPr>
      <w:r>
        <w:rPr>
          <w:rFonts w:ascii="Times New Roman" w:cs="Times New Roman" w:eastAsia="Times New Roman" w:hAnsi="Times New Roman"/>
          <w:sz w:val="14"/>
          <w:szCs w:val="14"/>
          <w:b w:val="1"/>
          <w:bCs w:val="1"/>
          <w:color w:val="auto"/>
        </w:rPr>
        <w:t>245 Park Avenue, 44th Floor</w:t>
      </w:r>
    </w:p>
    <w:p>
      <w:pPr>
        <w:jc w:val="center"/>
        <w:ind w:right="-99"/>
        <w:spacing w:after="0" w:line="201" w:lineRule="auto"/>
        <w:rPr>
          <w:sz w:val="20"/>
          <w:szCs w:val="20"/>
          <w:color w:val="auto"/>
        </w:rPr>
      </w:pPr>
      <w:r>
        <w:rPr>
          <w:rFonts w:ascii="Times New Roman" w:cs="Times New Roman" w:eastAsia="Times New Roman" w:hAnsi="Times New Roman"/>
          <w:sz w:val="14"/>
          <w:szCs w:val="14"/>
          <w:b w:val="1"/>
          <w:bCs w:val="1"/>
          <w:color w:val="auto"/>
        </w:rPr>
        <w:t>New York, NY 10167</w:t>
      </w:r>
    </w:p>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(310) 201-4100</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70485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9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Peter Ogilvie</w:t>
      </w:r>
    </w:p>
    <w:p>
      <w:pPr>
        <w:jc w:val="center"/>
        <w:ind w:right="-99"/>
        <w:spacing w:after="0" w:line="201" w:lineRule="auto"/>
        <w:rPr>
          <w:sz w:val="20"/>
          <w:szCs w:val="20"/>
          <w:color w:val="auto"/>
        </w:rPr>
      </w:pPr>
      <w:r>
        <w:rPr>
          <w:rFonts w:ascii="Times New Roman" w:cs="Times New Roman" w:eastAsia="Times New Roman" w:hAnsi="Times New Roman"/>
          <w:sz w:val="14"/>
          <w:szCs w:val="14"/>
          <w:b w:val="1"/>
          <w:bCs w:val="1"/>
          <w:color w:val="auto"/>
        </w:rPr>
        <w:t>c/o Ares Management LLC</w:t>
      </w:r>
    </w:p>
    <w:p>
      <w:pPr>
        <w:jc w:val="center"/>
        <w:ind w:right="-99"/>
        <w:spacing w:after="0" w:line="201" w:lineRule="auto"/>
        <w:rPr>
          <w:sz w:val="20"/>
          <w:szCs w:val="20"/>
          <w:color w:val="auto"/>
        </w:rPr>
      </w:pPr>
      <w:r>
        <w:rPr>
          <w:rFonts w:ascii="Times New Roman" w:cs="Times New Roman" w:eastAsia="Times New Roman" w:hAnsi="Times New Roman"/>
          <w:sz w:val="14"/>
          <w:szCs w:val="14"/>
          <w:b w:val="1"/>
          <w:bCs w:val="1"/>
          <w:color w:val="auto"/>
        </w:rPr>
        <w:t>245 Park Avenue, 44th Floor</w:t>
      </w:r>
    </w:p>
    <w:p>
      <w:pPr>
        <w:jc w:val="center"/>
        <w:ind w:right="-99"/>
        <w:spacing w:after="0" w:line="201" w:lineRule="auto"/>
        <w:rPr>
          <w:sz w:val="20"/>
          <w:szCs w:val="20"/>
          <w:color w:val="auto"/>
        </w:rPr>
      </w:pPr>
      <w:r>
        <w:rPr>
          <w:rFonts w:ascii="Times New Roman" w:cs="Times New Roman" w:eastAsia="Times New Roman" w:hAnsi="Times New Roman"/>
          <w:sz w:val="14"/>
          <w:szCs w:val="14"/>
          <w:b w:val="1"/>
          <w:bCs w:val="1"/>
          <w:color w:val="auto"/>
        </w:rPr>
        <w:t>New York, NY 10167</w:t>
      </w:r>
    </w:p>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(310) 201-4100</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70485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9" w:lineRule="exact"/>
        <w:rPr>
          <w:sz w:val="24"/>
          <w:szCs w:val="24"/>
          <w:color w:val="auto"/>
        </w:rPr>
      </w:pPr>
    </w:p>
    <w:tbl>
      <w:tblPr>
        <w:tblLayout w:type="fixed"/>
        <w:tblInd w:w="1780" w:type="dxa"/>
        <w:tblCellMar>
          <w:top w:w="0" w:type="dxa"/>
          <w:left w:w="0" w:type="dxa"/>
          <w:bottom w:w="0" w:type="dxa"/>
          <w:right w:w="0" w:type="dxa"/>
        </w:tblCellMar>
      </w:tblPr>
      <w:tr>
        <w:trPr>
          <w:trHeight w:val="178"/>
        </w:trPr>
        <w:tc>
          <w:tcPr>
            <w:tcW w:w="2900" w:type="dxa"/>
            <w:vAlign w:val="bottom"/>
          </w:tcPr>
          <w:p>
            <w:pPr>
              <w:spacing w:after="0"/>
              <w:rPr>
                <w:sz w:val="15"/>
                <w:szCs w:val="15"/>
                <w:color w:val="auto"/>
              </w:rPr>
            </w:pPr>
          </w:p>
        </w:tc>
        <w:tc>
          <w:tcPr>
            <w:tcW w:w="4640" w:type="dxa"/>
            <w:vAlign w:val="bottom"/>
          </w:tcPr>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Copies:</w:t>
            </w:r>
          </w:p>
        </w:tc>
      </w:tr>
      <w:tr>
        <w:trPr>
          <w:trHeight w:val="146"/>
        </w:trPr>
        <w:tc>
          <w:tcPr>
            <w:tcW w:w="2900" w:type="dxa"/>
            <w:vAlign w:val="bottom"/>
          </w:tcPr>
          <w:p>
            <w:pPr>
              <w:jc w:val="center"/>
              <w:ind w:right="628"/>
              <w:spacing w:after="0" w:line="146" w:lineRule="exact"/>
              <w:rPr>
                <w:sz w:val="20"/>
                <w:szCs w:val="20"/>
                <w:color w:val="auto"/>
              </w:rPr>
            </w:pPr>
            <w:r>
              <w:rPr>
                <w:rFonts w:ascii="Times New Roman" w:cs="Times New Roman" w:eastAsia="Times New Roman" w:hAnsi="Times New Roman"/>
                <w:sz w:val="14"/>
                <w:szCs w:val="14"/>
                <w:b w:val="1"/>
                <w:bCs w:val="1"/>
                <w:color w:val="auto"/>
              </w:rPr>
              <w:t>Monica J. Shilling, P.C.</w:t>
            </w:r>
          </w:p>
        </w:tc>
        <w:tc>
          <w:tcPr>
            <w:tcW w:w="4640" w:type="dxa"/>
            <w:vAlign w:val="bottom"/>
          </w:tcPr>
          <w:p>
            <w:pPr>
              <w:jc w:val="center"/>
              <w:ind w:left="2808"/>
              <w:spacing w:after="0" w:line="146" w:lineRule="exact"/>
              <w:rPr>
                <w:sz w:val="20"/>
                <w:szCs w:val="20"/>
                <w:color w:val="auto"/>
              </w:rPr>
            </w:pPr>
            <w:r>
              <w:rPr>
                <w:rFonts w:ascii="Times New Roman" w:cs="Times New Roman" w:eastAsia="Times New Roman" w:hAnsi="Times New Roman"/>
                <w:sz w:val="14"/>
                <w:szCs w:val="14"/>
                <w:b w:val="1"/>
                <w:bCs w:val="1"/>
                <w:color w:val="auto"/>
              </w:rPr>
              <w:t>Paul D. Tropp</w:t>
            </w:r>
          </w:p>
        </w:tc>
      </w:tr>
      <w:tr>
        <w:trPr>
          <w:trHeight w:val="135"/>
        </w:trPr>
        <w:tc>
          <w:tcPr>
            <w:tcW w:w="2900" w:type="dxa"/>
            <w:vAlign w:val="bottom"/>
          </w:tcPr>
          <w:p>
            <w:pPr>
              <w:jc w:val="center"/>
              <w:ind w:right="628"/>
              <w:spacing w:after="0" w:line="135" w:lineRule="exact"/>
              <w:rPr>
                <w:sz w:val="20"/>
                <w:szCs w:val="20"/>
                <w:color w:val="auto"/>
              </w:rPr>
            </w:pPr>
            <w:r>
              <w:rPr>
                <w:rFonts w:ascii="Times New Roman" w:cs="Times New Roman" w:eastAsia="Times New Roman" w:hAnsi="Times New Roman"/>
                <w:sz w:val="14"/>
                <w:szCs w:val="14"/>
                <w:b w:val="1"/>
                <w:bCs w:val="1"/>
                <w:color w:val="auto"/>
              </w:rPr>
              <w:t>Philippa Bond, P.C.</w:t>
            </w:r>
          </w:p>
        </w:tc>
        <w:tc>
          <w:tcPr>
            <w:tcW w:w="4640" w:type="dxa"/>
            <w:vAlign w:val="bottom"/>
          </w:tcPr>
          <w:p>
            <w:pPr>
              <w:jc w:val="center"/>
              <w:ind w:left="2808"/>
              <w:spacing w:after="0" w:line="135" w:lineRule="exact"/>
              <w:rPr>
                <w:sz w:val="20"/>
                <w:szCs w:val="20"/>
                <w:color w:val="auto"/>
              </w:rPr>
            </w:pPr>
            <w:r>
              <w:rPr>
                <w:rFonts w:ascii="Times New Roman" w:cs="Times New Roman" w:eastAsia="Times New Roman" w:hAnsi="Times New Roman"/>
                <w:sz w:val="14"/>
                <w:szCs w:val="14"/>
                <w:b w:val="1"/>
                <w:bCs w:val="1"/>
                <w:color w:val="auto"/>
              </w:rPr>
              <w:t>Ropes &amp; Gray LLP</w:t>
            </w:r>
          </w:p>
        </w:tc>
      </w:tr>
      <w:tr>
        <w:trPr>
          <w:trHeight w:val="135"/>
        </w:trPr>
        <w:tc>
          <w:tcPr>
            <w:tcW w:w="2900" w:type="dxa"/>
            <w:vAlign w:val="bottom"/>
          </w:tcPr>
          <w:p>
            <w:pPr>
              <w:jc w:val="center"/>
              <w:ind w:right="648"/>
              <w:spacing w:after="0" w:line="135" w:lineRule="exact"/>
              <w:rPr>
                <w:sz w:val="20"/>
                <w:szCs w:val="20"/>
                <w:color w:val="auto"/>
              </w:rPr>
            </w:pPr>
            <w:r>
              <w:rPr>
                <w:rFonts w:ascii="Times New Roman" w:cs="Times New Roman" w:eastAsia="Times New Roman" w:hAnsi="Times New Roman"/>
                <w:sz w:val="14"/>
                <w:szCs w:val="14"/>
                <w:b w:val="1"/>
                <w:bCs w:val="1"/>
                <w:color w:val="auto"/>
              </w:rPr>
              <w:t>H. Thomas Felix</w:t>
            </w:r>
          </w:p>
        </w:tc>
        <w:tc>
          <w:tcPr>
            <w:tcW w:w="4640" w:type="dxa"/>
            <w:vAlign w:val="bottom"/>
          </w:tcPr>
          <w:p>
            <w:pPr>
              <w:jc w:val="center"/>
              <w:ind w:left="2808"/>
              <w:spacing w:after="0" w:line="135" w:lineRule="exact"/>
              <w:rPr>
                <w:sz w:val="20"/>
                <w:szCs w:val="20"/>
                <w:color w:val="auto"/>
              </w:rPr>
            </w:pPr>
            <w:r>
              <w:rPr>
                <w:rFonts w:ascii="Times New Roman" w:cs="Times New Roman" w:eastAsia="Times New Roman" w:hAnsi="Times New Roman"/>
                <w:sz w:val="14"/>
                <w:szCs w:val="14"/>
                <w:b w:val="1"/>
                <w:bCs w:val="1"/>
                <w:color w:val="auto"/>
              </w:rPr>
              <w:t>1211 Avenue of the Americas</w:t>
            </w:r>
          </w:p>
        </w:tc>
      </w:tr>
      <w:tr>
        <w:trPr>
          <w:trHeight w:val="135"/>
        </w:trPr>
        <w:tc>
          <w:tcPr>
            <w:tcW w:w="2900" w:type="dxa"/>
            <w:vAlign w:val="bottom"/>
          </w:tcPr>
          <w:p>
            <w:pPr>
              <w:jc w:val="center"/>
              <w:ind w:right="628"/>
              <w:spacing w:after="0" w:line="135" w:lineRule="exact"/>
              <w:rPr>
                <w:sz w:val="20"/>
                <w:szCs w:val="20"/>
                <w:color w:val="auto"/>
              </w:rPr>
            </w:pPr>
            <w:r>
              <w:rPr>
                <w:rFonts w:ascii="Times New Roman" w:cs="Times New Roman" w:eastAsia="Times New Roman" w:hAnsi="Times New Roman"/>
                <w:sz w:val="14"/>
                <w:szCs w:val="14"/>
                <w:b w:val="1"/>
                <w:bCs w:val="1"/>
                <w:color w:val="auto"/>
              </w:rPr>
              <w:t>Kirkland &amp; Ellis LLP</w:t>
            </w:r>
          </w:p>
        </w:tc>
        <w:tc>
          <w:tcPr>
            <w:tcW w:w="4640" w:type="dxa"/>
            <w:vAlign w:val="bottom"/>
          </w:tcPr>
          <w:p>
            <w:pPr>
              <w:jc w:val="center"/>
              <w:ind w:left="2808"/>
              <w:spacing w:after="0" w:line="135" w:lineRule="exact"/>
              <w:rPr>
                <w:sz w:val="20"/>
                <w:szCs w:val="20"/>
                <w:color w:val="auto"/>
              </w:rPr>
            </w:pPr>
            <w:r>
              <w:rPr>
                <w:rFonts w:ascii="Times New Roman" w:cs="Times New Roman" w:eastAsia="Times New Roman" w:hAnsi="Times New Roman"/>
                <w:sz w:val="14"/>
                <w:szCs w:val="14"/>
                <w:b w:val="1"/>
                <w:bCs w:val="1"/>
                <w:color w:val="auto"/>
              </w:rPr>
              <w:t>New York, New York 10036</w:t>
            </w:r>
          </w:p>
        </w:tc>
      </w:tr>
      <w:tr>
        <w:trPr>
          <w:trHeight w:val="135"/>
        </w:trPr>
        <w:tc>
          <w:tcPr>
            <w:tcW w:w="2900" w:type="dxa"/>
            <w:vAlign w:val="bottom"/>
          </w:tcPr>
          <w:p>
            <w:pPr>
              <w:jc w:val="center"/>
              <w:ind w:right="628"/>
              <w:spacing w:after="0" w:line="135" w:lineRule="exact"/>
              <w:rPr>
                <w:sz w:val="20"/>
                <w:szCs w:val="20"/>
                <w:color w:val="auto"/>
              </w:rPr>
            </w:pPr>
            <w:r>
              <w:rPr>
                <w:rFonts w:ascii="Times New Roman" w:cs="Times New Roman" w:eastAsia="Times New Roman" w:hAnsi="Times New Roman"/>
                <w:sz w:val="14"/>
                <w:szCs w:val="14"/>
                <w:b w:val="1"/>
                <w:bCs w:val="1"/>
                <w:color w:val="auto"/>
              </w:rPr>
              <w:t>2049 Century Park East, 37th Floor</w:t>
            </w:r>
          </w:p>
        </w:tc>
        <w:tc>
          <w:tcPr>
            <w:tcW w:w="4640" w:type="dxa"/>
            <w:vAlign w:val="bottom"/>
          </w:tcPr>
          <w:p>
            <w:pPr>
              <w:jc w:val="center"/>
              <w:ind w:left="2808"/>
              <w:spacing w:after="0" w:line="135" w:lineRule="exact"/>
              <w:rPr>
                <w:sz w:val="20"/>
                <w:szCs w:val="20"/>
                <w:color w:val="auto"/>
              </w:rPr>
            </w:pPr>
            <w:r>
              <w:rPr>
                <w:rFonts w:ascii="Times New Roman" w:cs="Times New Roman" w:eastAsia="Times New Roman" w:hAnsi="Times New Roman"/>
                <w:sz w:val="14"/>
                <w:szCs w:val="14"/>
                <w:b w:val="1"/>
                <w:bCs w:val="1"/>
                <w:color w:val="auto"/>
              </w:rPr>
              <w:t>Tel: (212) 596-9000</w:t>
            </w:r>
          </w:p>
        </w:tc>
      </w:tr>
      <w:tr>
        <w:trPr>
          <w:trHeight w:val="135"/>
        </w:trPr>
        <w:tc>
          <w:tcPr>
            <w:tcW w:w="2900" w:type="dxa"/>
            <w:vAlign w:val="bottom"/>
          </w:tcPr>
          <w:p>
            <w:pPr>
              <w:jc w:val="center"/>
              <w:ind w:right="648"/>
              <w:spacing w:after="0" w:line="135" w:lineRule="exact"/>
              <w:rPr>
                <w:sz w:val="20"/>
                <w:szCs w:val="20"/>
                <w:color w:val="auto"/>
              </w:rPr>
            </w:pPr>
            <w:r>
              <w:rPr>
                <w:rFonts w:ascii="Times New Roman" w:cs="Times New Roman" w:eastAsia="Times New Roman" w:hAnsi="Times New Roman"/>
                <w:sz w:val="14"/>
                <w:szCs w:val="14"/>
                <w:b w:val="1"/>
                <w:bCs w:val="1"/>
                <w:color w:val="auto"/>
              </w:rPr>
              <w:t>Los Angeles, CA 90067</w:t>
            </w:r>
          </w:p>
        </w:tc>
        <w:tc>
          <w:tcPr>
            <w:tcW w:w="4640" w:type="dxa"/>
            <w:vAlign w:val="bottom"/>
          </w:tcPr>
          <w:p>
            <w:pPr>
              <w:jc w:val="center"/>
              <w:ind w:left="2808"/>
              <w:spacing w:after="0" w:line="135" w:lineRule="exact"/>
              <w:rPr>
                <w:sz w:val="20"/>
                <w:szCs w:val="20"/>
                <w:color w:val="auto"/>
              </w:rPr>
            </w:pPr>
            <w:r>
              <w:rPr>
                <w:rFonts w:ascii="Times New Roman" w:cs="Times New Roman" w:eastAsia="Times New Roman" w:hAnsi="Times New Roman"/>
                <w:sz w:val="14"/>
                <w:szCs w:val="14"/>
                <w:b w:val="1"/>
                <w:bCs w:val="1"/>
                <w:color w:val="auto"/>
              </w:rPr>
              <w:t>Fax: (212) 596-9090</w:t>
            </w:r>
          </w:p>
        </w:tc>
      </w:tr>
      <w:tr>
        <w:trPr>
          <w:trHeight w:val="135"/>
        </w:trPr>
        <w:tc>
          <w:tcPr>
            <w:tcW w:w="2900" w:type="dxa"/>
            <w:vAlign w:val="bottom"/>
          </w:tcPr>
          <w:p>
            <w:pPr>
              <w:jc w:val="center"/>
              <w:ind w:right="628"/>
              <w:spacing w:after="0" w:line="135" w:lineRule="exact"/>
              <w:rPr>
                <w:sz w:val="20"/>
                <w:szCs w:val="20"/>
                <w:color w:val="auto"/>
              </w:rPr>
            </w:pPr>
            <w:r>
              <w:rPr>
                <w:rFonts w:ascii="Times New Roman" w:cs="Times New Roman" w:eastAsia="Times New Roman" w:hAnsi="Times New Roman"/>
                <w:sz w:val="14"/>
                <w:szCs w:val="14"/>
                <w:b w:val="1"/>
                <w:bCs w:val="1"/>
                <w:color w:val="auto"/>
              </w:rPr>
              <w:t>Tel: (310) 552-4200</w:t>
            </w:r>
          </w:p>
        </w:tc>
        <w:tc>
          <w:tcPr>
            <w:tcW w:w="4640" w:type="dxa"/>
            <w:vAlign w:val="bottom"/>
          </w:tcPr>
          <w:p>
            <w:pPr>
              <w:spacing w:after="0"/>
              <w:rPr>
                <w:sz w:val="11"/>
                <w:szCs w:val="11"/>
                <w:color w:val="auto"/>
              </w:rPr>
            </w:pPr>
          </w:p>
        </w:tc>
      </w:tr>
      <w:tr>
        <w:trPr>
          <w:trHeight w:val="190"/>
        </w:trPr>
        <w:tc>
          <w:tcPr>
            <w:tcW w:w="2900" w:type="dxa"/>
            <w:vAlign w:val="bottom"/>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Fax: (310) 552-5900</w:t>
            </w:r>
          </w:p>
        </w:tc>
        <w:tc>
          <w:tcPr>
            <w:tcW w:w="46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67945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0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of this registration statement.</w:t>
      </w:r>
    </w:p>
    <w:p>
      <w:pPr>
        <w:ind w:left="120" w:right="360" w:firstLine="440"/>
        <w:spacing w:after="0" w:line="135"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ind w:left="120" w:right="580" w:firstLine="440"/>
        <w:spacing w:after="0" w:line="135"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120" w:right="120" w:firstLine="440"/>
        <w:spacing w:after="0" w:line="135"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120" w:right="120" w:firstLine="440"/>
        <w:spacing w:after="0" w:line="135"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120" w:right="100" w:firstLine="440"/>
        <w:spacing w:after="0" w:line="22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120" w:type="dxa"/>
        <w:tblCellMar>
          <w:top w:w="0" w:type="dxa"/>
          <w:left w:w="0" w:type="dxa"/>
          <w:bottom w:w="0" w:type="dxa"/>
          <w:right w:w="0" w:type="dxa"/>
        </w:tblCellMar>
      </w:tblPr>
      <w:tr>
        <w:trPr>
          <w:trHeight w:val="168"/>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49"/>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line="149" w:lineRule="exact"/>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9"/>
        </w:trPr>
        <w:tc>
          <w:tcPr>
            <w:tcW w:w="1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ind w:left="120" w:right="580" w:firstLine="440"/>
        <w:spacing w:after="0" w:line="16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57785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8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33"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48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Proposed</w:t>
            </w:r>
          </w:p>
        </w:tc>
        <w:tc>
          <w:tcPr>
            <w:tcW w:w="154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Proposed</w:t>
            </w: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88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880" w:type="dxa"/>
            <w:vAlign w:val="bottom"/>
            <w:tcBorders>
              <w:right w:val="single" w:sz="8" w:color="auto"/>
            </w:tcBorders>
          </w:tcPr>
          <w:p>
            <w:pPr>
              <w:ind w:left="1860"/>
              <w:spacing w:after="0" w:line="142" w:lineRule="exact"/>
              <w:rPr>
                <w:sz w:val="20"/>
                <w:szCs w:val="20"/>
                <w:color w:val="auto"/>
              </w:rPr>
            </w:pPr>
            <w:r>
              <w:rPr>
                <w:rFonts w:ascii="Times New Roman" w:cs="Times New Roman" w:eastAsia="Times New Roman" w:hAnsi="Times New Roman"/>
                <w:sz w:val="13"/>
                <w:szCs w:val="13"/>
                <w:b w:val="1"/>
                <w:bCs w:val="1"/>
                <w:color w:val="auto"/>
              </w:rPr>
              <w:t>Title of Each Class of</w:t>
            </w:r>
          </w:p>
        </w:tc>
        <w:tc>
          <w:tcPr>
            <w:tcW w:w="15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Being</w:t>
            </w:r>
          </w:p>
        </w:tc>
        <w:tc>
          <w:tcPr>
            <w:tcW w:w="15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Offering Price</w:t>
            </w:r>
          </w:p>
        </w:tc>
        <w:tc>
          <w:tcPr>
            <w:tcW w:w="15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5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62"/>
        </w:trPr>
        <w:tc>
          <w:tcPr>
            <w:tcW w:w="4880" w:type="dxa"/>
            <w:vAlign w:val="bottom"/>
            <w:tcBorders>
              <w:bottom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13"/>
                <w:szCs w:val="13"/>
                <w:b w:val="1"/>
                <w:bCs w:val="1"/>
                <w:color w:val="auto"/>
              </w:rPr>
              <w:t>Security Being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per Security(1)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Offering Price(1)</w:t>
            </w:r>
          </w:p>
        </w:tc>
        <w:tc>
          <w:tcPr>
            <w:tcW w:w="15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3"/>
                <w:szCs w:val="13"/>
                <w:b w:val="1"/>
                <w:bCs w:val="1"/>
                <w:color w:val="auto"/>
                <w:w w:val="96"/>
              </w:rPr>
              <w:t>Registration Fee</w:t>
            </w:r>
          </w:p>
        </w:tc>
        <w:tc>
          <w:tcPr>
            <w:tcW w:w="0" w:type="dxa"/>
            <w:vAlign w:val="bottom"/>
          </w:tcPr>
          <w:p>
            <w:pPr>
              <w:spacing w:after="0"/>
              <w:rPr>
                <w:sz w:val="1"/>
                <w:szCs w:val="1"/>
                <w:color w:val="auto"/>
              </w:rPr>
            </w:pPr>
          </w:p>
        </w:tc>
      </w:tr>
      <w:tr>
        <w:trPr>
          <w:trHeight w:val="102"/>
        </w:trPr>
        <w:tc>
          <w:tcPr>
            <w:tcW w:w="4880" w:type="dxa"/>
            <w:vAlign w:val="bottom"/>
            <w:tcBorders>
              <w:right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Units, each consisting of one Class A ordinary share, $0.0001 par value, and</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100,625,000 units</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$1,006,250,000</w:t>
            </w:r>
          </w:p>
        </w:tc>
        <w:tc>
          <w:tcPr>
            <w:tcW w:w="1520" w:type="dxa"/>
            <w:vAlign w:val="bottom"/>
            <w:vMerge w:val="restart"/>
          </w:tcPr>
          <w:p>
            <w:pPr>
              <w:jc w:val="center"/>
              <w:ind w:left="11"/>
              <w:spacing w:after="0"/>
              <w:rPr>
                <w:sz w:val="20"/>
                <w:szCs w:val="20"/>
                <w:color w:val="auto"/>
              </w:rPr>
            </w:pPr>
            <w:r>
              <w:rPr>
                <w:rFonts w:ascii="Times New Roman" w:cs="Times New Roman" w:eastAsia="Times New Roman" w:hAnsi="Times New Roman"/>
                <w:sz w:val="14"/>
                <w:szCs w:val="14"/>
                <w:color w:val="auto"/>
              </w:rPr>
              <w:t>$109,781.88</w:t>
            </w:r>
          </w:p>
        </w:tc>
        <w:tc>
          <w:tcPr>
            <w:tcW w:w="0" w:type="dxa"/>
            <w:vAlign w:val="bottom"/>
          </w:tcPr>
          <w:p>
            <w:pPr>
              <w:spacing w:after="0"/>
              <w:rPr>
                <w:sz w:val="1"/>
                <w:szCs w:val="1"/>
                <w:color w:val="auto"/>
              </w:rPr>
            </w:pPr>
          </w:p>
        </w:tc>
      </w:tr>
      <w:tr>
        <w:trPr>
          <w:trHeight w:val="162"/>
        </w:trPr>
        <w:tc>
          <w:tcPr>
            <w:tcW w:w="4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one-fifth of one redeemable warrant(2)</w:t>
            </w:r>
          </w:p>
        </w:tc>
        <w:tc>
          <w:tcPr>
            <w:tcW w:w="1540" w:type="dxa"/>
            <w:vAlign w:val="bottom"/>
            <w:tcBorders>
              <w:bottom w:val="single" w:sz="8" w:color="auto"/>
              <w:right w:val="single" w:sz="8" w:color="auto"/>
            </w:tcBorders>
            <w:vMerge w:val="continue"/>
          </w:tcPr>
          <w:p>
            <w:pPr>
              <w:spacing w:after="0"/>
              <w:rPr>
                <w:sz w:val="14"/>
                <w:szCs w:val="14"/>
                <w:color w:val="auto"/>
              </w:rPr>
            </w:pPr>
          </w:p>
        </w:tc>
        <w:tc>
          <w:tcPr>
            <w:tcW w:w="1540" w:type="dxa"/>
            <w:vAlign w:val="bottom"/>
            <w:tcBorders>
              <w:bottom w:val="single" w:sz="8" w:color="auto"/>
              <w:right w:val="single" w:sz="8" w:color="auto"/>
            </w:tcBorders>
            <w:vMerge w:val="continue"/>
          </w:tcPr>
          <w:p>
            <w:pPr>
              <w:spacing w:after="0"/>
              <w:rPr>
                <w:sz w:val="14"/>
                <w:szCs w:val="14"/>
                <w:color w:val="auto"/>
              </w:rPr>
            </w:pPr>
          </w:p>
        </w:tc>
        <w:tc>
          <w:tcPr>
            <w:tcW w:w="154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Class A ordinary shares included as part of the units(3)</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100,625,000 shares</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jc w:val="center"/>
              <w:ind w:left="11"/>
              <w:spacing w:after="0" w:line="14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Redeemable warrants included as part of the units(3)</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20,125,000 warrants</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jc w:val="center"/>
              <w:ind w:left="11"/>
              <w:spacing w:after="0" w:line="142"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$1,006,250,000</w:t>
            </w:r>
          </w:p>
        </w:tc>
        <w:tc>
          <w:tcPr>
            <w:tcW w:w="1520" w:type="dxa"/>
            <w:vAlign w:val="bottom"/>
            <w:tcBorders>
              <w:bottom w:val="single" w:sz="8" w:color="auto"/>
            </w:tcBorders>
          </w:tcPr>
          <w:p>
            <w:pPr>
              <w:jc w:val="center"/>
              <w:ind w:left="11"/>
              <w:spacing w:after="0" w:line="142" w:lineRule="exact"/>
              <w:rPr>
                <w:sz w:val="20"/>
                <w:szCs w:val="20"/>
                <w:color w:val="auto"/>
              </w:rPr>
            </w:pPr>
            <w:r>
              <w:rPr>
                <w:rFonts w:ascii="Times New Roman" w:cs="Times New Roman" w:eastAsia="Times New Roman" w:hAnsi="Times New Roman"/>
                <w:sz w:val="14"/>
                <w:szCs w:val="14"/>
                <w:color w:val="auto"/>
              </w:rPr>
              <w:t>$109,781.88</w:t>
            </w:r>
          </w:p>
        </w:tc>
        <w:tc>
          <w:tcPr>
            <w:tcW w:w="0" w:type="dxa"/>
            <w:vAlign w:val="bottom"/>
          </w:tcPr>
          <w:p>
            <w:pPr>
              <w:spacing w:after="0"/>
              <w:rPr>
                <w:sz w:val="1"/>
                <w:szCs w:val="1"/>
                <w:color w:val="auto"/>
              </w:rPr>
            </w:pPr>
          </w:p>
        </w:tc>
      </w:tr>
    </w:tbl>
    <w:p>
      <w:pPr>
        <w:ind w:left="540" w:hanging="424"/>
        <w:spacing w:after="0" w:line="231" w:lineRule="auto"/>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 457(a) under the Securities Act.</w:t>
      </w:r>
    </w:p>
    <w:p>
      <w:pPr>
        <w:ind w:left="540" w:right="100" w:hanging="424"/>
        <w:spacing w:after="0" w:line="201" w:lineRule="auto"/>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13,125,000 units, consisting of 13,125,000 Class A ordinary shares and 2,625,000 redeemable warrants, which may be issued upon exercise of a 45-day option granted to the underwriters to cover over-allotments, if any.</w:t>
      </w:r>
    </w:p>
    <w:p>
      <w:pPr>
        <w:ind w:left="540" w:right="620" w:hanging="424"/>
        <w:spacing w:after="0" w:line="201" w:lineRule="auto"/>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there are also being registered an indeterminable number of additional securities as may be offered or issued to prevent dilution resulting from share subdivisions, share dividends, or similar transactions.</w:t>
      </w: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fee pursuant to Rule 457(g).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-534670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73660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2" w:lineRule="exact"/>
        <w:rPr>
          <w:sz w:val="24"/>
          <w:szCs w:val="24"/>
          <w:color w:val="auto"/>
        </w:rPr>
      </w:pPr>
    </w:p>
    <w:p>
      <w:pPr>
        <w:ind w:left="120" w:right="80" w:firstLine="440"/>
        <w:spacing w:after="0" w:line="228"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41275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EB0029"/>
        </w:rPr>
        <w:t>Subject to Completion, Dated October 1, 2021</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EB0029"/>
        </w:rPr>
        <w:t>PRELIMINARY PROSPECTUS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Ares Acquisition Corporation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$875,000,000</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87,500,000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0"/>
          <w:szCs w:val="20"/>
          <w:color w:val="auto"/>
        </w:rPr>
      </w:pPr>
    </w:p>
    <w:p>
      <w:pPr>
        <w:ind w:left="120" w:right="380"/>
        <w:spacing w:after="0" w:line="272" w:lineRule="auto"/>
        <w:rPr>
          <w:sz w:val="20"/>
          <w:szCs w:val="20"/>
          <w:color w:val="auto"/>
        </w:rPr>
      </w:pPr>
      <w:r>
        <w:rPr>
          <w:rFonts w:ascii="Times New Roman" w:cs="Times New Roman" w:eastAsia="Times New Roman" w:hAnsi="Times New Roman"/>
          <w:sz w:val="16"/>
          <w:szCs w:val="16"/>
          <w:color w:val="auto"/>
        </w:rPr>
        <w:t>Ares Acquisition Corporation II is a blank check company newly incorporated as a Cayman Islands exempted company for the purpose of effecting a merger, share exchange, asset acquisition, share purchase, reorganization or similar business combination with one or more businesses, which we refer to as our initial business combination. We have not selected any business combination target and we have not, nor has anyone on our behalf, initiated any substantive discussions, directly or indirectly, with any business combination target. We may pursue an initial business combination target in any business or industry. However, we do not currently contemplate targeting a company in the fossil fuel energy industry, including the upstream, midstream and energy services sub-sectors.</w:t>
      </w:r>
    </w:p>
    <w:p>
      <w:pPr>
        <w:spacing w:after="0" w:line="78"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6"/>
          <w:szCs w:val="16"/>
          <w:color w:val="auto"/>
        </w:rPr>
        <w:t>This is an initial public offering of our securities. Each unit has an offering price of $10.00 and consists of one Class A ordinary share and one-fifth of one redeemable warrant. Each whole warrant entitles the holder thereof to purchase one Class A ordinary share at a price of $11.50 per share, subject to adjustment, terms and limitations as described herein. The underwriters have a 45-day option from the date of this prospectus to purchase up to 13,125,000 additional units to cover over-allotments, if any.</w:t>
      </w:r>
    </w:p>
    <w:p>
      <w:pPr>
        <w:spacing w:after="0" w:line="69"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6"/>
          <w:szCs w:val="16"/>
          <w:color w:val="auto"/>
        </w:rPr>
        <w:t>We will provide our public shareholders with the opportunity to have all or a portion of their Class A ordinary shares redeemed upon the completion of our initial business combination, subject to the limitations described herein. If we have not consummated an initial business combination within 24 months from the closing of this offering, we will redeem 100% of the public shares for cash, subject to applicable law and certain conditions as described herein.</w:t>
      </w:r>
    </w:p>
    <w:p>
      <w:pPr>
        <w:spacing w:after="0" w:line="69"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6"/>
          <w:szCs w:val="16"/>
          <w:color w:val="auto"/>
        </w:rPr>
        <w:t>Our sponsor, Ares Acquisition Holdings II LP, has agreed to purchase 15,000,000 warrants (or 16,750,000 warrants if the underwriters’ over-allotment option is exercised in full), each exercisable to purchase one Class A ordinary share at $11.50 per share, at a price of $1.50 per warrant, in a private placement to occur concurrently with the closing of this offering. Our sponsor (together with its permitted transferees) currently owns 25,156,250 Class B ordinary shares, up to 3,281,250 of which are subject to forfeiture depending on the extent to which the underwriters’ over-allotment option is exercised. The Class B ordinary shares will automatically convert into Class A ordinary shares at the time of our initial business combination as described herein. Prior to our initial business combination, only holders of our Class B ordinary shares will be entitled to vote on the election of directors.</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Currently, there is no public market for our securities. We intend to apply to have our units listed on the New York Stock Exchange, or the NYSE, under the symbol</w:t>
      </w:r>
    </w:p>
    <w:p>
      <w:pPr>
        <w:spacing w:after="0" w:line="26" w:lineRule="exact"/>
        <w:rPr>
          <w:sz w:val="20"/>
          <w:szCs w:val="20"/>
          <w:color w:val="auto"/>
        </w:rPr>
      </w:pPr>
    </w:p>
    <w:p>
      <w:pPr>
        <w:ind w:left="120"/>
        <w:spacing w:after="0"/>
        <w:tabs>
          <w:tab w:leader="none" w:pos="820" w:val="left"/>
          <w:tab w:leader="none" w:pos="106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 We expect that the Class A ordinary shares and warrants comprising the units will begin separate trading on the NYSE under the symbols “</w:t>
      </w:r>
      <w:r>
        <w:rPr>
          <w:sz w:val="20"/>
          <w:szCs w:val="20"/>
          <w:color w:val="auto"/>
        </w:rPr>
        <w:tab/>
      </w:r>
      <w:r>
        <w:rPr>
          <w:rFonts w:ascii="Times New Roman" w:cs="Times New Roman" w:eastAsia="Times New Roman" w:hAnsi="Times New Roman"/>
          <w:sz w:val="15"/>
          <w:szCs w:val="15"/>
          <w:color w:val="auto"/>
        </w:rPr>
        <w:t>” and</w:t>
      </w:r>
    </w:p>
    <w:p>
      <w:pPr>
        <w:spacing w:after="0" w:line="19" w:lineRule="exact"/>
        <w:rPr>
          <w:sz w:val="20"/>
          <w:szCs w:val="20"/>
          <w:color w:val="auto"/>
        </w:rPr>
      </w:pPr>
    </w:p>
    <w:p>
      <w:pPr>
        <w:ind w:left="120" w:right="400"/>
        <w:spacing w:after="0" w:line="288" w:lineRule="auto"/>
        <w:rPr>
          <w:sz w:val="20"/>
          <w:szCs w:val="20"/>
          <w:color w:val="auto"/>
        </w:rPr>
      </w:pPr>
      <w:r>
        <w:rPr>
          <w:rFonts w:ascii="Times New Roman" w:cs="Times New Roman" w:eastAsia="Times New Roman" w:hAnsi="Times New Roman"/>
          <w:sz w:val="16"/>
          <w:szCs w:val="16"/>
          <w:color w:val="auto"/>
        </w:rPr>
        <w:t>“ ,” respectively, on the 52nd day following the date of this prospectus unless the underwriters permit earlier separate trading and we have satisfied certain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126365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4" w:lineRule="exact"/>
        <w:rPr>
          <w:sz w:val="20"/>
          <w:szCs w:val="20"/>
          <w:color w:val="auto"/>
        </w:rPr>
      </w:pPr>
    </w:p>
    <w:p>
      <w:pPr>
        <w:ind w:left="120" w:right="260"/>
        <w:spacing w:after="0" w:line="250" w:lineRule="auto"/>
        <w:rPr>
          <w:sz w:val="20"/>
          <w:szCs w:val="20"/>
          <w:color w:val="auto"/>
        </w:rPr>
      </w:pPr>
      <w:r>
        <w:rPr>
          <w:rFonts w:ascii="Times New Roman" w:cs="Times New Roman" w:eastAsia="Times New Roman" w:hAnsi="Times New Roman"/>
          <w:sz w:val="20"/>
          <w:szCs w:val="20"/>
          <w:b w:val="1"/>
          <w:bCs w:val="1"/>
          <w:color w:val="auto"/>
        </w:rPr>
        <w:t>We are an “emerging growth company” under applicable federal securities laws and will be subject to reduced public company reporting requirements. Investing in our securities involves a high degree of risk.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36 for a discussion of information that should be considered in connection with an investment in our securities. Investors will not be entitled to protections normally afforded to investors in Rule 419 blank check offerings.</w:t>
      </w:r>
    </w:p>
    <w:p>
      <w:pPr>
        <w:spacing w:after="0" w:line="81" w:lineRule="exact"/>
        <w:rPr>
          <w:sz w:val="20"/>
          <w:szCs w:val="20"/>
          <w:color w:val="auto"/>
        </w:rPr>
      </w:pPr>
    </w:p>
    <w:p>
      <w:pPr>
        <w:ind w:left="120" w:right="140"/>
        <w:spacing w:after="0" w:line="298" w:lineRule="auto"/>
        <w:rPr>
          <w:sz w:val="20"/>
          <w:szCs w:val="20"/>
          <w:color w:val="auto"/>
        </w:rPr>
      </w:pPr>
      <w:r>
        <w:rPr>
          <w:rFonts w:ascii="Times New Roman" w:cs="Times New Roman" w:eastAsia="Times New Roman" w:hAnsi="Times New Roman"/>
          <w:sz w:val="16"/>
          <w:szCs w:val="16"/>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4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Per</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10.00</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Underwriting discounts and commissions</w:t>
            </w:r>
            <w:r>
              <w:rPr>
                <w:rFonts w:ascii="Times New Roman" w:cs="Times New Roman" w:eastAsia="Times New Roman" w:hAnsi="Times New Roman"/>
                <w:sz w:val="23"/>
                <w:szCs w:val="23"/>
                <w:color w:val="auto"/>
                <w:vertAlign w:val="superscript"/>
              </w:rPr>
              <w:t>(1)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48,125,000</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us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826,875,000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line="275" w:lineRule="auto"/>
        <w:tabs>
          <w:tab w:leader="none" w:pos="5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$0.35 per unit, or $30,625,000 in the aggregate (or $35,218,750 in the aggregate if the underwriters’ over-allotment option is exercised in full), payable to the underwriters for deferred underwriting commissions to be placed in a trust account located in the United States as described herein and released to the underwriters only upon the consummation of an initial business combination. See also “Underwriting” for a description of compensation and other items of value payable to the underwriters.</w:t>
      </w:r>
    </w:p>
    <w:p>
      <w:pPr>
        <w:spacing w:after="0" w:line="75" w:lineRule="exact"/>
        <w:rPr>
          <w:sz w:val="20"/>
          <w:szCs w:val="20"/>
          <w:color w:val="auto"/>
        </w:rPr>
      </w:pPr>
    </w:p>
    <w:p>
      <w:pPr>
        <w:ind w:left="120" w:right="300"/>
        <w:spacing w:after="0" w:line="281" w:lineRule="auto"/>
        <w:rPr>
          <w:sz w:val="20"/>
          <w:szCs w:val="20"/>
          <w:color w:val="auto"/>
        </w:rPr>
      </w:pPr>
      <w:r>
        <w:rPr>
          <w:rFonts w:ascii="Times New Roman" w:cs="Times New Roman" w:eastAsia="Times New Roman" w:hAnsi="Times New Roman"/>
          <w:sz w:val="16"/>
          <w:szCs w:val="16"/>
          <w:color w:val="auto"/>
        </w:rPr>
        <w:t>Of the proceeds we receive from this offering and the sale of the private placement warrants described in this prospectus, $875,000,000, or $1,006,250,000 if the underwriters’ over-allotment option is exercised in full ($10.00 per unit in either case), will be deposited into a trust account with Continental Stock Transfer &amp; Trust Company acting as trustee.</w:t>
      </w:r>
    </w:p>
    <w:p>
      <w:pPr>
        <w:spacing w:after="0" w:line="69"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The underwriters are offering the units for sale on a firm commitment basis. The underwriters expect to deliver the units to the purchasers on or about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2021.</w:t>
            </w:r>
          </w:p>
        </w:tc>
      </w:tr>
    </w:tbl>
    <w:p>
      <w:pPr>
        <w:spacing w:after="0" w:line="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180975</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391" w:lineRule="exact"/>
        <w:rPr>
          <w:sz w:val="20"/>
          <w:szCs w:val="20"/>
          <w:color w:val="auto"/>
        </w:rPr>
      </w:pPr>
    </w:p>
    <w:p>
      <w:pPr>
        <w:ind w:left="4080"/>
        <w:spacing w:after="0"/>
        <w:tabs>
          <w:tab w:leader="none" w:pos="6760" w:val="left"/>
        </w:tabs>
        <w:rPr>
          <w:sz w:val="20"/>
          <w:szCs w:val="20"/>
          <w:color w:val="auto"/>
        </w:rPr>
      </w:pPr>
      <w:r>
        <w:rPr>
          <w:rFonts w:ascii="Times New Roman" w:cs="Times New Roman" w:eastAsia="Times New Roman" w:hAnsi="Times New Roman"/>
          <w:sz w:val="16"/>
          <w:szCs w:val="16"/>
          <w:b w:val="1"/>
          <w:bCs w:val="1"/>
          <w:color w:val="auto"/>
        </w:rPr>
        <w:t>The date of this prospectus is</w:t>
      </w:r>
      <w:r>
        <w:rPr>
          <w:sz w:val="20"/>
          <w:szCs w:val="20"/>
          <w:color w:val="auto"/>
        </w:rPr>
        <w:tab/>
      </w:r>
      <w:r>
        <w:rPr>
          <w:rFonts w:ascii="Times New Roman" w:cs="Times New Roman" w:eastAsia="Times New Roman" w:hAnsi="Times New Roman"/>
          <w:sz w:val="15"/>
          <w:szCs w:val="15"/>
          <w:b w:val="1"/>
          <w:bCs w:val="1"/>
          <w:color w:val="auto"/>
        </w:rPr>
        <w:t>, 2021</w:t>
      </w:r>
    </w:p>
    <w:p>
      <w:pPr>
        <w:sectPr>
          <w:pgSz w:w="11900" w:h="16838" w:orient="portrait"/>
          <w:cols w:equalWidth="0" w:num="1">
            <w:col w:w="11120"/>
          </w:cols>
          <w:pgMar w:left="320" w:top="455" w:right="4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92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6"/>
              </w:rPr>
              <w:t>SUMMARY</w:t>
            </w:r>
          </w:p>
        </w:tc>
        <w:tc>
          <w:tcPr>
            <w:tcW w:w="8860" w:type="dxa"/>
            <w:vAlign w:val="bottom"/>
            <w:gridSpan w:val="17"/>
          </w:tcPr>
          <w:p>
            <w:pPr>
              <w:spacing w:after="0"/>
              <w:rPr>
                <w:sz w:val="16"/>
                <w:szCs w:val="16"/>
                <w:color w:val="auto"/>
              </w:rPr>
            </w:pPr>
          </w:p>
        </w:tc>
        <w:tc>
          <w:tcPr>
            <w:tcW w:w="1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7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SUMMARY FINANCIAL DATA</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24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340" w:type="dxa"/>
            <w:vAlign w:val="bottom"/>
            <w:gridSpan w:val="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00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16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180" w:type="dxa"/>
            <w:vAlign w:val="bottom"/>
            <w:gridSpan w:val="1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200" w:type="dxa"/>
            <w:vAlign w:val="bottom"/>
            <w:gridSpan w:val="11"/>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8920" w:type="dxa"/>
            <w:vAlign w:val="bottom"/>
            <w:gridSpan w:val="1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196"/>
        </w:trPr>
        <w:tc>
          <w:tcPr>
            <w:tcW w:w="1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8300" w:type="dxa"/>
            <w:vAlign w:val="bottom"/>
            <w:gridSpan w:val="1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196"/>
        </w:trPr>
        <w:tc>
          <w:tcPr>
            <w:tcW w:w="97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18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PROPOSED BUSINESS</w:t>
            </w:r>
          </w:p>
        </w:tc>
        <w:tc>
          <w:tcPr>
            <w:tcW w:w="7080" w:type="dxa"/>
            <w:vAlign w:val="bottom"/>
            <w:tcBorders>
              <w:top w:val="single" w:sz="8" w:color="0000EE"/>
            </w:tcBorders>
            <w:gridSpan w:val="8"/>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3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480" w:type="dxa"/>
            <w:vAlign w:val="bottom"/>
            <w:gridSpan w:val="1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96"/>
        </w:trPr>
        <w:tc>
          <w:tcPr>
            <w:tcW w:w="23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SHAREHOLDERS</w:t>
            </w:r>
          </w:p>
        </w:tc>
        <w:tc>
          <w:tcPr>
            <w:tcW w:w="7400" w:type="dxa"/>
            <w:vAlign w:val="bottom"/>
            <w:gridSpan w:val="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97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196"/>
        </w:trPr>
        <w:tc>
          <w:tcPr>
            <w:tcW w:w="54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432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96"/>
        </w:trPr>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1600" w:type="dxa"/>
            <w:vAlign w:val="bottom"/>
            <w:tcBorders>
              <w:top w:val="single" w:sz="8" w:color="0000EE"/>
            </w:tcBorders>
            <w:gridSpan w:val="12"/>
          </w:tcPr>
          <w:p>
            <w:pPr>
              <w:spacing w:after="0"/>
              <w:rPr>
                <w:sz w:val="17"/>
                <w:szCs w:val="17"/>
                <w:color w:val="auto"/>
              </w:rPr>
            </w:pPr>
          </w:p>
        </w:tc>
        <w:tc>
          <w:tcPr>
            <w:tcW w:w="7280" w:type="dxa"/>
            <w:vAlign w:val="bottom"/>
            <w:gridSpan w:val="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r>
      <w:tr>
        <w:trPr>
          <w:trHeight w:val="196"/>
        </w:trPr>
        <w:tc>
          <w:tcPr>
            <w:tcW w:w="97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320" w:type="dxa"/>
            <w:vAlign w:val="bottom"/>
            <w:gridSpan w:val="1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r>
      <w:tr>
        <w:trPr>
          <w:trHeight w:val="196"/>
        </w:trPr>
        <w:tc>
          <w:tcPr>
            <w:tcW w:w="97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r>
      <w:tr>
        <w:trPr>
          <w:trHeight w:val="20"/>
        </w:trPr>
        <w:tc>
          <w:tcPr>
            <w:tcW w:w="760" w:type="dxa"/>
            <w:vAlign w:val="bottom"/>
            <w:shd w:val="clear" w:color="auto" w:fill="0000EE"/>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7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r>
      <w:tr>
        <w:trPr>
          <w:trHeight w:val="196"/>
        </w:trPr>
        <w:tc>
          <w:tcPr>
            <w:tcW w:w="30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1360" w:type="dxa"/>
            <w:vAlign w:val="bottom"/>
            <w:tcBorders>
              <w:top w:val="single" w:sz="8" w:color="0000EE"/>
            </w:tcBorders>
          </w:tcPr>
          <w:p>
            <w:pPr>
              <w:spacing w:after="0"/>
              <w:rPr>
                <w:sz w:val="17"/>
                <w:szCs w:val="17"/>
                <w:color w:val="auto"/>
              </w:rPr>
            </w:pPr>
          </w:p>
        </w:tc>
        <w:tc>
          <w:tcPr>
            <w:tcW w:w="538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this prospectus. We have not authorized anyone to provide you with different information, and neither we nor the underwriters take any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6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3646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w:t>
      </w:r>
    </w:p>
    <w:p>
      <w:pPr>
        <w:spacing w:after="0" w:line="131" w:lineRule="exact"/>
        <w:rPr>
          <w:sz w:val="20"/>
          <w:szCs w:val="20"/>
          <w:color w:val="auto"/>
        </w:rPr>
      </w:pPr>
    </w:p>
    <w:p>
      <w:pPr>
        <w:ind w:left="1640" w:right="60" w:hanging="289"/>
        <w:spacing w:after="0" w:line="282"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memorandum and article of association” refers to the amended and restated memorandum and articles of association that the company will adopt prior to the consummation of this offering;</w:t>
      </w:r>
    </w:p>
    <w:p>
      <w:pPr>
        <w:spacing w:after="0" w:line="67" w:lineRule="exact"/>
        <w:rPr>
          <w:rFonts w:ascii="Times New Roman" w:cs="Times New Roman" w:eastAsia="Times New Roman" w:hAnsi="Times New Roman"/>
          <w:sz w:val="18"/>
          <w:szCs w:val="18"/>
          <w:color w:val="auto"/>
        </w:rPr>
      </w:pPr>
    </w:p>
    <w:p>
      <w:pPr>
        <w:ind w:left="1640" w:right="200" w:hanging="289"/>
        <w:spacing w:after="0" w:line="282"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Act” refers to the Companies Act (As Revised) of the Cayman Islands as the same may be amended from time to time;</w:t>
      </w:r>
    </w:p>
    <w:p>
      <w:pPr>
        <w:spacing w:after="0" w:line="67" w:lineRule="exact"/>
        <w:rPr>
          <w:rFonts w:ascii="Times New Roman" w:cs="Times New Roman" w:eastAsia="Times New Roman" w:hAnsi="Times New Roman"/>
          <w:sz w:val="18"/>
          <w:szCs w:val="18"/>
          <w:color w:val="auto"/>
        </w:rPr>
      </w:pPr>
    </w:p>
    <w:p>
      <w:pPr>
        <w:ind w:left="1640" w:right="60" w:hanging="289"/>
        <w:spacing w:after="0" w:line="266"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shares” refers to our Class B ordinary shares initially issued to our sponsor in a private placement prior to this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81"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refers to Ares Management Corporation, a Delaware corporation, together with its subsidiaries;</w:t>
      </w:r>
    </w:p>
    <w:p>
      <w:pPr>
        <w:spacing w:after="0" w:line="130" w:lineRule="exact"/>
        <w:rPr>
          <w:rFonts w:ascii="Times New Roman" w:cs="Times New Roman" w:eastAsia="Times New Roman" w:hAnsi="Times New Roman"/>
          <w:sz w:val="18"/>
          <w:szCs w:val="18"/>
          <w:color w:val="auto"/>
        </w:rPr>
      </w:pPr>
    </w:p>
    <w:p>
      <w:pPr>
        <w:ind w:left="1640" w:hanging="289"/>
        <w:spacing w:after="0" w:line="282"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funds” means funds, alternative asset companies, co-investment vehicles and other entities and accounts managed by Ares or its affiliates and certain portfolio companies in which Ares or such entities have invested;</w:t>
      </w:r>
    </w:p>
    <w:p>
      <w:pPr>
        <w:spacing w:after="0" w:line="67" w:lineRule="exact"/>
        <w:rPr>
          <w:rFonts w:ascii="Times New Roman" w:cs="Times New Roman" w:eastAsia="Times New Roman" w:hAnsi="Times New Roman"/>
          <w:sz w:val="18"/>
          <w:szCs w:val="18"/>
          <w:color w:val="auto"/>
        </w:rPr>
      </w:pPr>
    </w:p>
    <w:p>
      <w:pPr>
        <w:ind w:left="1640" w:right="80" w:hanging="289"/>
        <w:spacing w:after="0" w:line="258"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under management” or “AUM” refers to the assets we manage. For our funds other than CLOs, our AUM represents the sum of the net asset value (“NAV”) of such funds, the drawn and undrawn debt (at the fund-level including amounts subject to restrictions) and uncalled committed capital (including commitments to funds that have yet to commence their investment periods). NAV refers to the fair value of the assets of a fund less the liabilities of the fund. For our funds that are CLOs, our AUM is equal to initial principal amounts adjusted for paydowns;</w:t>
      </w:r>
    </w:p>
    <w:p>
      <w:pPr>
        <w:spacing w:after="0" w:line="88"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 refers to “Ares funds” that are structured as collateralized loan obligations;</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Class A ordinary shares and our Class B ordinary shares;</w:t>
      </w:r>
    </w:p>
    <w:p>
      <w:pPr>
        <w:spacing w:after="0" w:line="130" w:lineRule="exact"/>
        <w:rPr>
          <w:rFonts w:ascii="Times New Roman" w:cs="Times New Roman" w:eastAsia="Times New Roman" w:hAnsi="Times New Roman"/>
          <w:sz w:val="18"/>
          <w:szCs w:val="18"/>
          <w:color w:val="auto"/>
        </w:rPr>
      </w:pPr>
    </w:p>
    <w:p>
      <w:pPr>
        <w:ind w:left="1640" w:right="220" w:hanging="289"/>
        <w:spacing w:after="0" w:line="282"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warrants” refers to the warrants to be issued to our sponsor in a private placement simultaneously with the closing of this offering and upon conversion of working capital loans, if any;</w:t>
      </w:r>
    </w:p>
    <w:p>
      <w:pPr>
        <w:spacing w:after="0" w:line="67" w:lineRule="exact"/>
        <w:rPr>
          <w:rFonts w:ascii="Times New Roman" w:cs="Times New Roman" w:eastAsia="Times New Roman" w:hAnsi="Times New Roman"/>
          <w:sz w:val="18"/>
          <w:szCs w:val="18"/>
          <w:color w:val="auto"/>
        </w:rPr>
      </w:pPr>
    </w:p>
    <w:p>
      <w:pPr>
        <w:ind w:left="1640" w:right="100" w:hanging="289"/>
        <w:spacing w:after="0" w:line="282"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shares” refers to our Class A ordinary shares sold as part of the units in this offering (whether they are purchased in this offering or thereafter in the open market);</w:t>
      </w:r>
    </w:p>
    <w:p>
      <w:pPr>
        <w:spacing w:after="0" w:line="67" w:lineRule="exact"/>
        <w:rPr>
          <w:rFonts w:ascii="Times New Roman" w:cs="Times New Roman" w:eastAsia="Times New Roman" w:hAnsi="Times New Roman"/>
          <w:sz w:val="18"/>
          <w:szCs w:val="18"/>
          <w:color w:val="auto"/>
        </w:rPr>
      </w:pPr>
    </w:p>
    <w:p>
      <w:pPr>
        <w:jc w:val="both"/>
        <w:ind w:left="1640" w:hanging="289"/>
        <w:spacing w:after="0" w:line="266"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shareholders” refers to the holders of our public shares, including our sponsor and our directors and executive officers if and to the extent they purchase public shares, but their status as a “public shareholder” will only exist with respect to such public shares;</w:t>
      </w:r>
    </w:p>
    <w:p>
      <w:pPr>
        <w:spacing w:after="0" w:line="81"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refers to Ares Acquisition Holdings II LP, a Cayman Islands exempted limited partnership; and</w:t>
      </w:r>
    </w:p>
    <w:p>
      <w:pPr>
        <w:spacing w:after="0" w:line="130" w:lineRule="exact"/>
        <w:rPr>
          <w:rFonts w:ascii="Times New Roman" w:cs="Times New Roman" w:eastAsia="Times New Roman" w:hAnsi="Times New Roman"/>
          <w:sz w:val="18"/>
          <w:szCs w:val="18"/>
          <w:color w:val="auto"/>
        </w:rPr>
      </w:pPr>
    </w:p>
    <w:p>
      <w:pPr>
        <w:ind w:left="1640" w:right="600" w:hanging="289"/>
        <w:spacing w:after="0" w:line="282" w:lineRule="auto"/>
        <w:tabs>
          <w:tab w:leader="none" w:pos="1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“AAC II,” “our,” “company” or “our company” refers to Ares Acquisition Corporation II, a Cayman Islands exempted company.</w:t>
      </w:r>
    </w:p>
    <w:p>
      <w:pPr>
        <w:spacing w:after="0" w:line="162"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Any forfeiture of shares described in this prospectus will take effect as a surrender of shares for no consideration of such shares as a matter of Cayman Islands law. Any conversion of the Class B ordinary shares</w:t>
      </w: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66" w:lineRule="auto"/>
        <w:rPr>
          <w:sz w:val="20"/>
          <w:szCs w:val="20"/>
          <w:color w:val="auto"/>
        </w:rPr>
      </w:pPr>
      <w:r>
        <w:rPr>
          <w:rFonts w:ascii="Times New Roman" w:cs="Times New Roman" w:eastAsia="Times New Roman" w:hAnsi="Times New Roman"/>
          <w:sz w:val="18"/>
          <w:szCs w:val="18"/>
          <w:color w:val="auto"/>
        </w:rPr>
        <w:t>described in this prospectus will take effect as a compulsory redemption of Class B ordinary shares and an issuance of Class A ordinary shares as a matter of Cayman Islands law. Any share dividends described in this prospectus will take effect as share capitalizations as a matter of Cayman Islands law.</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we tell you otherwise, the information in this prospectus assumes that the underwriters will not exercise their over-allotment option.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 blank check company newly incorporated as a Cayman Islands exempted company for the purpose of effecting a merger, share exchange, asset acquisition, share purchase, reorganization or similar business combination with one or more businesses, which we refer to as our initial business combination. Our only activities since inception have been organizational activities and those necessary to prepare for this offering. We have not selected any business combination target and we have not, nor has anyone on our behalf, initiated any substantive discussions, directly or indirectly, with any business combination target. Our team has a history of executing transactions in multiple geographies and under varying economic and financial market conditions. Although we may pursue an acquisition in a number of industries or geographies, we intend to capitalize on the broader Ares platform where we believe a combination of our relationships, knowledge and experience across industries can effect a positive transformation or augmentation of an existing business.</w:t>
      </w:r>
    </w:p>
    <w:p>
      <w:pPr>
        <w:spacing w:after="0" w:line="192"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Our sponsor is an affiliate of Ares, a leading global alternative investment adviser. Given Ares’ investment capabilities, we believe our team has the required investment, operational, due diligence and capital raising resources to effect a business combination with an attractive target and to position it for long-term success in the public markets.</w:t>
      </w:r>
    </w:p>
    <w:p>
      <w:pPr>
        <w:spacing w:after="0" w:line="176" w:lineRule="exact"/>
        <w:rPr>
          <w:sz w:val="20"/>
          <w:szCs w:val="20"/>
          <w:color w:val="auto"/>
        </w:rPr>
      </w:pPr>
    </w:p>
    <w:p>
      <w:pPr>
        <w:ind w:left="300" w:right="240" w:firstLine="426"/>
        <w:spacing w:after="0" w:line="258" w:lineRule="auto"/>
        <w:rPr>
          <w:sz w:val="20"/>
          <w:szCs w:val="20"/>
          <w:color w:val="auto"/>
        </w:rPr>
      </w:pPr>
      <w:r>
        <w:rPr>
          <w:rFonts w:ascii="Times New Roman" w:cs="Times New Roman" w:eastAsia="Times New Roman" w:hAnsi="Times New Roman"/>
          <w:sz w:val="18"/>
          <w:szCs w:val="18"/>
          <w:color w:val="auto"/>
        </w:rPr>
        <w:t>While we may pursue an initial business combination target in any industry or sector, geography, or stage of its corporate evolution, we do not currently contemplate targeting a company in the fossil fuel energy industry, including the upstream, midstream and energy services sub-sectors, and we intend to focus our search in North America, Europe or Asia. We will pursue an initial business combination with an established business with scale, attractive growth prospects and sustainable competitive advantages. We believe there is a large universe of such businesses that could benefit from a public listing, and that we will be able to offer a differentiated and compelling value proposition to them.</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Sponsor and Ares</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Our sponsor is an affiliate of Ares, a leading, publicly traded, global alternative investment manager with approximately $262 billion of assets under management and approximately 2,000 employees in over 30 global offices as of June 30, 2021 (which includes approximately $13.7 billion of AUM and approximately 299 employees across eight offices as of June 30, 2021 for the acquisition of Black Creek Group, which closed on July 1, 2021). Ares operates integrated groups across Credit, Private Equity, Real Estate and Strategic Initiatives and offers its investors a range of investment strategies and seeks to deliver attractive performance to a growing investor base that includes over 1,780 direct institutional relationships and a significant retail investor base across its publicly traded and sub-advised funds. Since its inception in 1997, Ares has adhered to a disciplined investment philosophy that focuses on delivering strong risk-adjusted investment returns through market cycles. Ares believes each of its distinct but complementary investment groups is a market leader based on assets under management and investment performance.</w:t>
      </w:r>
    </w:p>
    <w:p>
      <w:pPr>
        <w:spacing w:after="0" w:line="192" w:lineRule="exact"/>
        <w:rPr>
          <w:sz w:val="20"/>
          <w:szCs w:val="20"/>
          <w:color w:val="auto"/>
        </w:rPr>
      </w:pPr>
    </w:p>
    <w:p>
      <w:pPr>
        <w:ind w:left="300" w:right="320" w:firstLine="426"/>
        <w:spacing w:after="0" w:line="266" w:lineRule="auto"/>
        <w:rPr>
          <w:sz w:val="20"/>
          <w:szCs w:val="20"/>
          <w:color w:val="auto"/>
        </w:rPr>
      </w:pPr>
      <w:r>
        <w:rPr>
          <w:rFonts w:ascii="Times New Roman" w:cs="Times New Roman" w:eastAsia="Times New Roman" w:hAnsi="Times New Roman"/>
          <w:sz w:val="18"/>
          <w:szCs w:val="18"/>
          <w:color w:val="auto"/>
        </w:rPr>
        <w:t>Ares operates as an integrated investment platform with a collaborative culture that emphasizes sharing of knowledge and expertise. Ares believes the exchange of information enhances its ability to analyze investments, deploy capital and improve the performance of its funds and portfolio companies. Through collaboration, Ares drives value by leveraging its capital markets relationships and access to deal flow.</w:t>
      </w: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36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firstLine="426"/>
        <w:spacing w:after="0" w:line="274" w:lineRule="auto"/>
        <w:rPr>
          <w:sz w:val="20"/>
          <w:szCs w:val="20"/>
          <w:color w:val="auto"/>
        </w:rPr>
      </w:pPr>
      <w:r>
        <w:rPr>
          <w:rFonts w:ascii="Times New Roman" w:cs="Times New Roman" w:eastAsia="Times New Roman" w:hAnsi="Times New Roman"/>
          <w:sz w:val="17"/>
          <w:szCs w:val="17"/>
          <w:color w:val="auto"/>
        </w:rPr>
        <w:t>AAC II will benefit directly and indirectly from its affiliation with the broader Ares organization through access to corporate and private relationships, sector expertise and the engagement of senior investment professionals leading the origination and execution of potential business combinations. While we will seek to utilize the entire Ares platform, we believe that the experience and capabilities of the Ares Private Equity Group and Ares Credit Group will be most relevant and critical to our success, particularly in sourcing and evaluating potential business combination opportunities. In addition, an affiliate of Ares has sponsored another special purpose acquisition company, Ares Acquisition Corporation (“AAC”), that completed its initial public offering on February 4, 2021. AAC has not yet announced an initial business combination.</w:t>
      </w:r>
    </w:p>
    <w:p>
      <w:pPr>
        <w:spacing w:after="0" w:line="173"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Ares Private Equity Group has achieved attractive investment returns for its limited partners and, as of June 30, 2021 had $30.7 billion of AUM. The Private Equity Group broadly categorizes its investment activities into four strategies: Corporate Private Equity, Infrastructure and Power, Special Opportunities and Energy Opportunities. Ares Private Equity Group professionals have a demonstrated ability to deploy flexible capital, which allows them to stay both active and disciplined in various market environments. The group’s activities are managed by three dedicated investment teams in North America, Europe and China. The group manages flagship funds focused primarily on North America and, to a lesser extent, Europe, special opportunities funds, infrastructure and power funds and growth funds in China.</w:t>
      </w:r>
    </w:p>
    <w:p>
      <w:pPr>
        <w:spacing w:after="0" w:line="18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Ares Corporate Private Equity strategy team is organized into dedicated industry pods with deep sector expertise and relationships, which the entire Ares Private Equity Group leverages for sourcing and execution of investment opportunities. Certain of Ares Private Equity Group’s senior investment professionals have been working together since 1990 and raised their first corporate private equity fund in 2003. Since then, the team has grown to approximately 110 investment professionals on a global basis. In Ares Corporate Private Equity strategy, Ares pursues four principal transaction types: prudently leveraged control buyouts, growth equity, rescue/deleveraging capital and distressed buyouts/discounted debt accumulation.</w:t>
      </w:r>
    </w:p>
    <w:p>
      <w:pPr>
        <w:spacing w:after="0" w:line="187"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Ares Credit Group is a leading manager of strategies across the non-investment grade credit universe, with $167.6 billion of AUM and over 200 funds as of June 30, 2021. The Credit Group provides solutions for investors seeking to access a range of credit assets, including liquid credit, alternative credit products and direct lending markets. The Credit Group capitalizes on opportunities across traded and non-traded corporate, consumer and real estate debt across the U.S. and European markets. Additionally, it provides investors access to directly originated fixed and floating rate credit assets and with the ability to capitalize on illiquidity premiums across the credit spectrum.</w:t>
      </w:r>
    </w:p>
    <w:p>
      <w:pPr>
        <w:spacing w:after="0" w:line="18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Within the Ares Credit Group, Ares’ Direct Lending strategy is one of the largest self-originating direct lenders to the U.S. and European markets, with $116.7 billion of AUM as of June 30, 2021. The Direct Lending platform has a multi-channel origination strategy designed to address a broad set of investment opportunities in the middle market. It focuses on being the lead or sole lender to its portfolio companies, which it believes allows it to exert greater influence over deal terms, capital structure, documentation, fees and pricing, while securing its position as a preferred source of financing for its transaction partners. The global Direct Lending team is comprised of approximately 210 investment professionals as of June 30, 2021. The team covers more than 800 financial sponsors and provides a wide range of financing solutions to middle-market companies that typically range from $10 to $250 million in earnings before interest, tax, depreciation and amortization (“EBITDA”). Given its breadth of coverage and sheer number of lending relationships to private companies, we believe that the relationship network of Ares Direct Lending strategy’s team could be yet another vital source of potential deal origination for us.</w:t>
      </w:r>
    </w:p>
    <w:p>
      <w:pPr>
        <w:spacing w:after="0" w:line="188"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Ultimately, we believe Ares’ flexible capital approach, together with the broad resources of its platform, will widen our universe of potential opportunities and allow us to be highly selective in pursuing our initial business combination.</w:t>
      </w:r>
    </w:p>
    <w:p>
      <w:pPr>
        <w:spacing w:after="0" w:line="3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55"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04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Management Team and Independent Director Nominees</w:t>
      </w:r>
    </w:p>
    <w:p>
      <w:pPr>
        <w:spacing w:after="0" w:line="121" w:lineRule="exact"/>
        <w:rPr>
          <w:sz w:val="20"/>
          <w:szCs w:val="20"/>
          <w:color w:val="auto"/>
        </w:rPr>
      </w:pPr>
    </w:p>
    <w:p>
      <w:pPr>
        <w:ind w:left="300" w:right="560" w:firstLine="426"/>
        <w:spacing w:after="0" w:line="266" w:lineRule="auto"/>
        <w:rPr>
          <w:sz w:val="20"/>
          <w:szCs w:val="20"/>
          <w:color w:val="auto"/>
        </w:rPr>
      </w:pPr>
      <w:r>
        <w:rPr>
          <w:rFonts w:ascii="Times New Roman" w:cs="Times New Roman" w:eastAsia="Times New Roman" w:hAnsi="Times New Roman"/>
          <w:sz w:val="18"/>
          <w:szCs w:val="18"/>
          <w:color w:val="auto"/>
        </w:rPr>
        <w:t>Our management team is led by David B. Kaplan, our Chief Executive Officer, and Michael J Arougheti, who intend to leverage the resources of Ares to fulfill our corporate mission and also leverage the complementary experience and networks of our independent director nominees, as further described below.</w:t>
      </w:r>
    </w:p>
    <w:p>
      <w:pPr>
        <w:spacing w:after="0" w:line="176" w:lineRule="exact"/>
        <w:rPr>
          <w:sz w:val="20"/>
          <w:szCs w:val="20"/>
          <w:color w:val="auto"/>
        </w:rPr>
      </w:pPr>
    </w:p>
    <w:p>
      <w:pPr>
        <w:ind w:left="300" w:firstLine="426"/>
        <w:spacing w:after="0" w:line="267" w:lineRule="auto"/>
        <w:rPr>
          <w:sz w:val="20"/>
          <w:szCs w:val="20"/>
          <w:color w:val="auto"/>
        </w:rPr>
      </w:pPr>
      <w:r>
        <w:rPr>
          <w:rFonts w:ascii="Times New Roman" w:cs="Times New Roman" w:eastAsia="Times New Roman" w:hAnsi="Times New Roman"/>
          <w:sz w:val="17"/>
          <w:szCs w:val="17"/>
          <w:color w:val="auto"/>
        </w:rPr>
        <w:t>David B. Kaplan serves as Chief Executive Officer and is Co-Chairman of the board of directors of AAC II. Mr. Kaplan is a Co-Founder of Ares, a Director and Partner of Ares Management Corporation, Co-Chairman of the Ares Private Equity Group and Chief Executive Officer and Co-Chairman of AAC (NYSE: AAC). He is a member of the Ares Executive Management Committee. He additionally serves on the Ares Private Equity Group’s Corporate Opportunities, Asia Private Equity and Special Opportunities Investment Committees. Mr. Kaplan joined Ares in 2003 from Shelter Capital Partners, LLC, where he was a Senior Principal from June 2000 to April 2003. From 1991 through 2000, Mr. Kaplan was a Senior Partner of Apollo Management, L.P. and its affiliates, during which time he completed multiple private equity investments from origination through exit. Prior to Apollo Management, L.P., Mr. Kaplan was a member of the Investment Banking Department at Donaldson, Lufkin &amp; Jenrette Securities Corp. Mr. Kaplan currently serves as a member of the boards of directors of New Guitar Center Holdings, Inc., Number Holdings, Inc., the parent entity of 99 Cents Only Stores LLC, CHWR Group GP LLC, the indirect controlling entity of Cooper’s Hawk Winery &amp; Restaurants, Floor and Decor Holdings, Inc. and MYT Netherlands Parent B.V., the parent of Mytheresa GmbH, where he is currently interim Chairman.</w:t>
      </w:r>
    </w:p>
    <w:p>
      <w:pPr>
        <w:spacing w:after="0" w:line="4"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Mr. Kaplan’s previous public company board of directors experience includes Maidenform Brands, Inc. where he served as the company’s Chairman, GNC Holdings, Inc., Dominick’s Supermarkets, Inc., Stream Global Services, Inc., Orchard Supply Hardware Stores Corporation, Smart &amp; Final, Inc. and Allied Waste Industries Inc. Mr. Kaplan also serves on the board of directors of Cedars-Sinai Medical Center and serves on the President’s Advisory Group of the University of Michigan. Mr. Kaplan graduated with High Distinction, Beta Gamma Sigma, from the University of Michigan, School of Business Administration with a B.B.A. concentrating in Finance.</w:t>
      </w:r>
    </w:p>
    <w:p>
      <w:pPr>
        <w:spacing w:after="0" w:line="187"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Michael J Arougheti serves as Co-Chairman of the board of directors of AAC II. Mr. Arougheti is Co-Founder, Chief Executive Officer and President, Director of Ares and Co-Chairman of AAC. He is a member of the Ares Executive Management Committee. He additionally serves as Co-Chairman of Ares Capital Corporation (“ARCC”) and as a director of Ares Commercial Real Estate Corporation (“ACRE”). Mr. Arougheti also is a member of the Ares Credit Group’s U.S. Direct Lending Investment Committee, the Ares Equity Income Opportunity Strategy Portfolio Review Committee and the Ares Operations Management Group. Prior to joining Ares in 2004, Mr. Arougheti was employed by Royal Bank of Canada from 2001 to 2004, where he was a Managing Partner of the Principal Finance Group of RBC Capital Partners and a member of the firm’s Mezzanine Investment Committee. Mr. Arougheti oversaw an investment team that originated, managed and monitored a diverse portfolio of middle-market leveraged loans, senior and junior subordinated debt, preferred equity and common stock and warrants on behalf of RBC and other third-party institutional investors. Mr. Arougheti joined Royal Bank of Canada in October 2001 from Indosuez Capital, where he was a Principal and an Investment Committee member, responsible for originating, structuring and executing leveraged transactions across a broad range of products and asset classes. Prior to joining Indosuez in 1994, Mr. Arougheti worked at Kidder, Peabody &amp; Co., where he was a member of the firm’s Mergers and Acquisitions Group. Mr. Arougheti serves on the Board of Directors of Operation HOPE, a not-for-profit organization focused on expanding economic opportunity in underserved communities through education and empowerment. He is additionally a member of the PATH Organization Leadership Council. Mr. Arougheti received a B.A. in Ethics, Politics and Economics, cum laude, from Yale University.</w:t>
      </w:r>
    </w:p>
    <w:p>
      <w:pPr>
        <w:spacing w:after="0" w:line="197" w:lineRule="exact"/>
        <w:rPr>
          <w:sz w:val="20"/>
          <w:szCs w:val="20"/>
          <w:color w:val="auto"/>
        </w:rPr>
      </w:pPr>
    </w:p>
    <w:p>
      <w:pPr>
        <w:jc w:val="both"/>
        <w:ind w:left="300" w:right="40" w:firstLine="426"/>
        <w:spacing w:after="0" w:line="289" w:lineRule="auto"/>
        <w:rPr>
          <w:sz w:val="20"/>
          <w:szCs w:val="20"/>
          <w:color w:val="auto"/>
        </w:rPr>
      </w:pPr>
      <w:r>
        <w:rPr>
          <w:rFonts w:ascii="Times New Roman" w:cs="Times New Roman" w:eastAsia="Times New Roman" w:hAnsi="Times New Roman"/>
          <w:sz w:val="17"/>
          <w:szCs w:val="17"/>
          <w:color w:val="auto"/>
        </w:rPr>
        <w:t>The past performance of neither our directors and executive officers nor Ares and its affiliates is a guarantee of either (i) success with respect to a business combination that may be consummated or (ii) the ability to successfully identify and execute a transaction. You should not rely on the historical record of management or Ares and its affiliates as indicative of future performance. See “Risk Factors—Past performance by Ares or its</w:t>
      </w: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24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affiliates, including our directors and executive officers, including investments and transactions in which they have participated and businesses with which they have been associated, may not be indicative of future performance of an investment in us, and we may be unable to provide positive returns to shareholders.” For a list of our executive officers and entities for which a conflict of interest between such officers and the company may or does exist, please refer to “Management—Conflicts of Interest.”</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AAC completed its initial public offering in February 2021, in which it sold 87,000,000 units each consisting of one Class A ordinary share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one-fifth of one warrant, with each whole warrant entitling the holder thereof to purchase one Class A ordinary share for an offering price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$10.00 per unit. AAC consummated the sale of an additional 13,000,000 Class A ordinary shares units pursuant to the underwriters’ partial exercise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their over-allotment option at a price of $10.00 per unit, generating total gross proceeds of approximately $1 billion. AAC has not yet announced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 initial business combination. Mr. Kaplan serves as Chief Executive Officer, Mr. Phillips serves as Chief Financial Officer, Ms. Satin serves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Operating Officer and Mr. Ogilvie serves as Executive Vice President of Strategy of AAC. Mr. Kaplan and Mr. Arougheti serve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Co-Chairmen of AAC’s board of directors. We believe that we will benefit from the valuable experience gained by our management team during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launch and operation of AAC, including the process of evaluating numerous target companies and industry sectors.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300" w:right="120" w:firstLine="426"/>
        <w:spacing w:after="0" w:line="253" w:lineRule="auto"/>
        <w:rPr>
          <w:sz w:val="20"/>
          <w:szCs w:val="20"/>
          <w:color w:val="auto"/>
        </w:rPr>
      </w:pPr>
      <w:r>
        <w:rPr>
          <w:rFonts w:ascii="Times New Roman" w:cs="Times New Roman" w:eastAsia="Times New Roman" w:hAnsi="Times New Roman"/>
          <w:sz w:val="18"/>
          <w:szCs w:val="18"/>
          <w:color w:val="auto"/>
        </w:rPr>
        <w:t>We believe the current environment offers a compelling market opportunity to raise a Special Purpose Acquisition Vehicle (“SPAC”) of meaningful scale. During 2020 there were 248 SPAC initial public offerings (“IPOs”) for total proceeds of approximately $83 billion, which was nearly six times that of prior years. In 2021, there have been 315 SPAC IPOs. Current trends in financial markets, including reduced volatility and strong market sentiment, mean that SPACs remain a compelling strategic alternative for companies seeking a public listing. While becoming a publicly listed company provides significant benefits, companies have been electing to remain private longer for various reasons, including the complexities of the traditional IPO process as well as its inherent uncertainty for the companies pursuing it. This dynamic has helped mold the current market opportunity for SPACs by generating a meaningful backlog of potential IPO candidates. Over the last five years, more than 100 companies filed an S-1 and ultimately did not pursue public listings. Today, SPACs have become a widespread strategic alternative for businesses desiring to access the public markets with a higher degree of certainty and speed, with 117 so-called de-SPAC transactions completed in comparison to 114 traditional IPOs in 2021, and an average of 46 de-SPAC business combinations per year from 2018 through 2020.</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Business Strategy and Competitive Advantage</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We currently intend to identify, acquire and manage a high quality business that can benefit from our global investment presence, strong self-origination capabilities and underwriting experience to drive ongoing value creation post-business combination in the public markets. Although we may pursue an acquisition opportunity in any business industry or sector, we do not currently contemplate targeting a company in the fossil fuel energy industry, including the upstream, midstream and energy services sub-sectors. We intend to capitalize on the ability of our management team and Ares to identify opportunities that have the potential to benefit from the Ares platform and generate attractive risk-adjusted returns for our shareholders. More specifically, we believe Ares offers the following key advantages, which can help us identify and complete a successful business combination:</w:t>
      </w:r>
    </w:p>
    <w:p>
      <w:pPr>
        <w:spacing w:after="0" w:line="90" w:lineRule="exact"/>
        <w:rPr>
          <w:sz w:val="20"/>
          <w:szCs w:val="20"/>
          <w:color w:val="auto"/>
        </w:rPr>
      </w:pPr>
    </w:p>
    <w:p>
      <w:pPr>
        <w:ind w:left="1240" w:right="60" w:hanging="415"/>
        <w:spacing w:after="0" w:line="257"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Global and Scaled Investing Presence with Highly Collaborative Culture: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manages approximately $262 billion of assets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with approximately 695 investment professionals across more than 30 offices as of June 30, 2021 (which includes approximately $13.7 billion of AUM with 108 investment professionals across eight offices as of June 30, 2021 for the acquisition of Black Creek Group, which closed on July 1, 2021). This has the potential to create meaningful advantages to source attractive transactions across various investment strategies. Ares promotes collaboration amongst its investment professionals to share ideas and information across the</w:t>
      </w:r>
    </w:p>
    <w:p>
      <w:pPr>
        <w:spacing w:after="0" w:line="3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21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spacing w:after="0" w:line="261" w:lineRule="auto"/>
        <w:rPr>
          <w:sz w:val="20"/>
          <w:szCs w:val="20"/>
          <w:color w:val="auto"/>
        </w:rPr>
      </w:pPr>
      <w:r>
        <w:rPr>
          <w:rFonts w:ascii="Times New Roman" w:cs="Times New Roman" w:eastAsia="Times New Roman" w:hAnsi="Times New Roman"/>
          <w:sz w:val="18"/>
          <w:szCs w:val="18"/>
          <w:color w:val="auto"/>
        </w:rPr>
        <w:t>groups, which further enables it to effectively source, evaluate and manage investments. Ares believes this exchange of information enhances its ability to analyze investments, deploy capital and improve the performance of its funds. This collaboration takes place on a daily basis and is formally promoted through internal systems and widely attended weekly or monthly meetings. In each case where collaboration across teams and sectors occurs, Ares believes it has a meaningful positive impact on investment decisions.</w:t>
      </w:r>
    </w:p>
    <w:p>
      <w:pPr>
        <w:spacing w:after="0" w:line="81" w:lineRule="exact"/>
        <w:rPr>
          <w:sz w:val="20"/>
          <w:szCs w:val="20"/>
          <w:color w:val="auto"/>
        </w:rPr>
      </w:pPr>
    </w:p>
    <w:p>
      <w:pPr>
        <w:ind w:left="1240" w:hanging="415"/>
        <w:spacing w:after="0" w:line="255"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Robust Sourcing and Underwriting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investment professionals’ local market presence and ability to effectively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cross-source for other investment groups generates a robust pipeline of high-quality investment opportunities across its platform. Ares has active investments in ~3,900 portfolio companies and over 1,780 direct institutional relationships. Additionally, Ares’ relationship network includes over 800 global private equity sponsor relationships for whom Ares is a key direct lending relationship, as well as privately held companies, investment advisors, boutique investment banks, law firms, consultants and other parties. Given AAC II has a broad mandate to pursue opportunities across geographies, Ares’ local presence in the U.S., Europe and Asia further differentiates its origination capabilities. AAC II is expected to benefit from Ares’ broad market presence, which has the potential to drive deal flow and allow for asset selectivity.</w:t>
      </w:r>
    </w:p>
    <w:p>
      <w:pPr>
        <w:spacing w:after="0" w:line="90" w:lineRule="exact"/>
        <w:rPr>
          <w:rFonts w:ascii="Times New Roman" w:cs="Times New Roman" w:eastAsia="Times New Roman" w:hAnsi="Times New Roman"/>
          <w:sz w:val="18"/>
          <w:szCs w:val="18"/>
          <w:color w:val="auto"/>
        </w:rPr>
      </w:pPr>
    </w:p>
    <w:p>
      <w:pPr>
        <w:ind w:left="1240" w:right="40" w:hanging="415"/>
        <w:spacing w:after="0" w:line="25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Extensive Market Knowledge: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its integrated investment framework, Ares has established deep and sophisticated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capabilities in approximately 55 industries with insights from active and previous investments. Further, its extensive network of investment professionals includes local and geographically positioned individuals with the knowledge, experience and relationships that enable them to identify and take advantage of a wide range of investment opportunities. This extensive market knowledge has a meaningful impact on investment decisions and facilitates a more holistic view of a transaction. We believe Ares’ broad and deep interdependencies and its research and operational infrastructure well-positions AAC II to complete a successful business combination.</w:t>
      </w:r>
    </w:p>
    <w:p>
      <w:pPr>
        <w:spacing w:after="0" w:line="88" w:lineRule="exact"/>
        <w:rPr>
          <w:rFonts w:ascii="Times New Roman" w:cs="Times New Roman" w:eastAsia="Times New Roman" w:hAnsi="Times New Roman"/>
          <w:sz w:val="18"/>
          <w:szCs w:val="18"/>
          <w:color w:val="auto"/>
        </w:rPr>
      </w:pPr>
    </w:p>
    <w:p>
      <w:pPr>
        <w:ind w:left="1240" w:right="80" w:hanging="415"/>
        <w:spacing w:after="0" w:line="254"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Public Markets Experience through Portfolio Exits and Ares Vehicles: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has a successful track record of portfolio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monetizations in its Private Equity business through initial public offerings, including Mytheresa, The AZEK Company, Inc., Floor &amp; Decor Holdings, Inc., GNC Holdings, Inc., Maidenform Brands, Inc., Smart &amp; Final Stores, Inc. and others. Additionally, Ares is publicly-listed on the New York Stock Exchange (“NYSE”) and certain of its subsidiaries act as the external manager for three publicly-traded investment vehicles. Furthermore, Ares’ publicly traded entities and their affiliates, including ARCC, ACRE, AAC and Ares Dynamic Credit Allocation Fund, Inc. (“ARDC”), account for approximately $35.9 billion of AUM as of June 30, 2021 and have a long track record as fiduciaries of capital for over 610 institutional investors and over 200,000 retail investor accounts. We believe Ares’ prior experience, combined with its robust public investor relations capabilities, will benefit AAC II following a business combination.</w:t>
      </w:r>
    </w:p>
    <w:p>
      <w:pPr>
        <w:spacing w:after="0" w:line="93" w:lineRule="exact"/>
        <w:rPr>
          <w:rFonts w:ascii="Times New Roman" w:cs="Times New Roman" w:eastAsia="Times New Roman" w:hAnsi="Times New Roman"/>
          <w:sz w:val="18"/>
          <w:szCs w:val="18"/>
          <w:color w:val="auto"/>
        </w:rPr>
      </w:pPr>
    </w:p>
    <w:p>
      <w:pPr>
        <w:ind w:left="1240" w:right="20" w:hanging="415"/>
        <w:spacing w:after="0" w:line="255"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Deep Value Creation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members of the Ares platform have extensive experience working closely with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teams and board members to assist with ongoing value creation and have gained experience managing AAC. By leveraging this experience, we believe AAC II is well-positioned to understand key trends, assess areas of revenue and margin upside, detect potential risks and structure transactions to maximize the potential for value creation. AAC II will have access to Ares’ network of high-quality, well-respected third-party operating advisors who are well equipped to maximize value creation post-business combination. Given Ares’ meaningful public investor relations capabilities, AAC II is positioned to prepare and support a target’s successful operation in the public markets. Additionally, Ares has a dedicated team focused on environmental, social and governance (“ESG”) factors that can further enhance AAC II’s impact for various stakeholders.</w:t>
      </w:r>
    </w:p>
    <w:p>
      <w:pPr>
        <w:spacing w:after="0" w:line="90" w:lineRule="exact"/>
        <w:rPr>
          <w:rFonts w:ascii="Times New Roman" w:cs="Times New Roman" w:eastAsia="Times New Roman" w:hAnsi="Times New Roman"/>
          <w:sz w:val="18"/>
          <w:szCs w:val="18"/>
          <w:color w:val="auto"/>
        </w:rPr>
      </w:pPr>
    </w:p>
    <w:p>
      <w:pPr>
        <w:ind w:left="1240" w:right="60" w:hanging="415"/>
        <w:spacing w:after="0" w:line="268"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Capital Structure Optimization and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AAC II may benefit from Ares’ over 1,780 institutional investor relationships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than 350 funds as of June 30, 2021. Ares’ high-quality institutional investor base includes large pension funds, sovereign wealth funds, banks and insurance companies.</w:t>
      </w: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62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spacing w:after="0" w:line="282" w:lineRule="auto"/>
        <w:rPr>
          <w:sz w:val="20"/>
          <w:szCs w:val="20"/>
          <w:color w:val="auto"/>
        </w:rPr>
      </w:pPr>
      <w:r>
        <w:rPr>
          <w:rFonts w:ascii="Times New Roman" w:cs="Times New Roman" w:eastAsia="Times New Roman" w:hAnsi="Times New Roman"/>
          <w:sz w:val="18"/>
          <w:szCs w:val="18"/>
          <w:color w:val="auto"/>
        </w:rPr>
        <w:t>Additionally, Ares has very strong relationships with many leading commercial and investment banks globally and a track record of successfully accessing the capital markets.</w:t>
      </w:r>
    </w:p>
    <w:p>
      <w:pPr>
        <w:spacing w:after="0" w:line="162"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With respect to the foregoing examples, past performance of Ares and the Ares funds is not a guarantee either (i) that we will be able to identify a suitable candidate for our initial business combination or (ii) of success with respect to any business combination we may consummate. You should not rely on the historical record of Ares’s, the Ares funds’ or our management’s performance as indicative of our future performance. An investment in us is not an investment in the Ares funds.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Acquisition Criteria</w:t>
      </w:r>
    </w:p>
    <w:p>
      <w:pPr>
        <w:spacing w:after="0" w:line="121"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Consistent with our strategy, we have identified the following general criteria and guidelines that we believe will be important in evaluating prospective target businesses. We will target one or more businesses that we believe have the following core attributes:</w:t>
      </w:r>
    </w:p>
    <w:p>
      <w:pPr>
        <w:spacing w:after="0" w:line="67" w:lineRule="exact"/>
        <w:rPr>
          <w:sz w:val="20"/>
          <w:szCs w:val="20"/>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differentiated and sustainable business model with a defensible market position;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people, processes and culture;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attractive growth prospects, including an ability to capitalize on positive secular tailwinds;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scale and resources to achieve a successful transition into the public market;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benefit from having a public currency to enhance its ability to grow organically or through M&amp;A;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benefit from Ares’ relationships and deep value creation capabilities.</w:t>
      </w:r>
    </w:p>
    <w:p>
      <w:pPr>
        <w:spacing w:after="0" w:line="225"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We may pursue an initial business combination target in any business or industry. However, we do not currently contemplate targeting a company in the fossil fuel energy industry, including the upstream, midstream and energy services sub-sectors.</w:t>
      </w:r>
    </w:p>
    <w:p>
      <w:pPr>
        <w:spacing w:after="0" w:line="162"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These criteria and guidelines are not intended to be exhaustive. Any evaluation relating to the merits of a particular initial business combination may be based, to the extent relevant, on these general criteria and guidelines as well as other considerations, factors and criteria that our directors and executive officers may deem relevant. We may decide to enter into our initial business combination with a target business that does not meet these criteria and guidelines. If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These communications would be in the form of tender offer documents or proxy solicitation materials that we would file with the SEC.</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Acquisition Process</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The Ares investment process leverages the power of the Ares platform and an extensive network of professionals across investment areas to identify and source attractive risk adjusted return opportunities while emphasizing capital preservation. Ares utilizes its collective market and company knowledge, proprietary internal industry and company research, third party information and financial modeling to drive fundamental analysis and investment selection. Ares also recognizes the importance of considering ESG factors in its investment process and has adopted an ESG policy for the conduct of its business. Ares works collaboratively with its various underwriting, asset management, legal and compliance teams to appropriately integrate relevant ESG considerations into its investment process.</w:t>
      </w:r>
    </w:p>
    <w:p>
      <w:pPr>
        <w:spacing w:after="0" w:line="37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20"/>
          </w:cols>
          <w:pgMar w:left="320" w:top="455" w:right="7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At the center of Ares’ investment process is a systematic approach that emphasizes rigorous due diligence at the company and market level in addition to a risk-adjusted return value assessment. This investment process is comprised of five stages: (1) generate a robust pipeline, (2) perform initial screening, (3) conduct due diligence, (4) drive transaction structuring, funding and overall execution, and (5) use a systematic approach to value creation. We will benefit from the same approach as we pursue our initial business combination.</w:t>
      </w:r>
    </w:p>
    <w:p>
      <w:pPr>
        <w:spacing w:after="0" w:line="180"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In evaluating a prospective target business, we expect to conduct a thorough due diligence review that may encompass, among other things, meetings with incumbent management and employees, document reviews, interviews of customers and suppliers, inspection of facilities, and a review of financial, operational, legal and other information about the target and its industry. We will also utilize our operational and capital planning experience.</w:t>
      </w:r>
    </w:p>
    <w:p>
      <w:pPr>
        <w:spacing w:after="0" w:line="180"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Ares, our sponsor, or our officers or directors. In the event we seek to complete our initial business combination with a company that is affiliated with Ares, our sponsor, officers or directors, we, or a committee of independent directors, will obtain an opinion that our initial business combination is fair to our company from a financial point of view from either an independent investment banking firm or an independent accounting firm.</w:t>
      </w:r>
    </w:p>
    <w:p>
      <w:pPr>
        <w:spacing w:after="0" w:line="180"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Our directors and executive officers may directly or indirectly own our ordinary shares or private placement warrants following this offering, and, accordingly, may have a conflict of interest in determining whether a particular target business is an appropriate business with which to effectuate our initial business combination. Further, 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 Certain members of our management team and directors have fiduciary duties to AAC. Accordingly, if any of our officers or directors becomes aware of a business combination opportunity that is suitable for an entity, including AAC and/or any other Ares entity, to which he or she has then-current fiduciary or contractual obligations, he or she will honor his or her fiduciary or contractual obligations to present such opportunity to such other entity, including AAC and/or any other Ares entity, subject to their fiduciary duties under Cayman Islands law. If these entities decide to pursue any such opportunity, we may be precluded from pursuing such opportunities. As a result, AAC may be given priority over us with respect to business combination opportunities.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21"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The NYSE rules require that our initial business combination must occur with one or more target businesses that together have an aggregate fair market value of at least 80% of the net assets held in the trust account (excluding the amount of deferred underwriting discounts held in the trust account and taxes payable on the income earned on the trust account) at the time of signing the agreement to enter into the initial business combination. If our board of directors is not able to independently determine the fair market value of the target business or businesses, or if we are considering an initial business combination with an affiliated entity, we will obtain an opinion with respect to the satisfaction of such criteria from an independent investment banking firm or an independent accounting firm. We do not intend to purchase multiple businesses in unrelated industries in conjunction with our initial business combination. We also will not be permitted to effectuate our initial business combination with another blank check company or a similar company with nominal operations. Subject to these limitations, our directors and executive officers will have virtually unlimited flexibility in identifying and selecting one or more prospective businesses.</w:t>
      </w:r>
    </w:p>
    <w:p>
      <w:pPr>
        <w:spacing w:after="0" w:line="188" w:lineRule="exact"/>
        <w:rPr>
          <w:sz w:val="20"/>
          <w:szCs w:val="20"/>
          <w:color w:val="auto"/>
        </w:rPr>
      </w:pPr>
    </w:p>
    <w:p>
      <w:pPr>
        <w:jc w:val="both"/>
        <w:ind w:left="300" w:right="580" w:firstLine="426"/>
        <w:spacing w:after="0" w:line="266" w:lineRule="auto"/>
        <w:rPr>
          <w:sz w:val="20"/>
          <w:szCs w:val="20"/>
          <w:color w:val="auto"/>
        </w:rPr>
      </w:pPr>
      <w:r>
        <w:rPr>
          <w:rFonts w:ascii="Times New Roman" w:cs="Times New Roman" w:eastAsia="Times New Roman" w:hAnsi="Times New Roman"/>
          <w:sz w:val="18"/>
          <w:szCs w:val="18"/>
          <w:color w:val="auto"/>
        </w:rPr>
        <w:t>We may, at our option, pursue an acquisition opportunity jointly with Ares, one or more parties affiliated with Ares, including without limitation, officers and affiliates of Ares, or Ares funds, or investors in such Ares funds. Any such party may co-invest with us in the target business at the time of our initial business combination,</w:t>
      </w: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we could raise additional proceeds to complete the acquisition by borrowing from or issuing to such parties a class of equity or debt securities.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amount and other terms and conditions of any such joint acquisition or specified future issuance would be determined at the time thereof.</w:t>
      </w:r>
    </w:p>
    <w:p>
      <w:pPr>
        <w:spacing w:after="0" w:line="207"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to meet certain objectives of the prior owners of the target business, the target management team or shareholders or for other reasons.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the relative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193"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Considerations</w:t>
      </w:r>
    </w:p>
    <w:p>
      <w:pPr>
        <w:spacing w:after="0" w:line="121"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We currently do not have any specific business combination under consideration. Ares and our directors and executive officers are regularly made aware of potential business combination opportunities, one or more of which we may desire to pursue. However, we have not selected any business combination target and we have not, nor has anyone on our behalf, initiated any substantive discussions, directly or indirectly, with any business combination target.</w:t>
      </w:r>
    </w:p>
    <w:p>
      <w:pPr>
        <w:spacing w:after="0" w:line="180" w:lineRule="exact"/>
        <w:rPr>
          <w:sz w:val="20"/>
          <w:szCs w:val="20"/>
          <w:color w:val="auto"/>
        </w:rPr>
      </w:pPr>
    </w:p>
    <w:p>
      <w:pPr>
        <w:jc w:val="both"/>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Ares manages multiple investment vehicles, and expects to raise additional funds or accounts in the future, including during the period in which we are seeking our initial business combination. These Ares investment entities are expected to be seeking acquisition opportunities and related financings. We may compete with any one or more of them on any given acquisition opportunity.</w:t>
      </w:r>
    </w:p>
    <w:p>
      <w:pPr>
        <w:spacing w:after="0" w:line="176" w:lineRule="exact"/>
        <w:rPr>
          <w:sz w:val="20"/>
          <w:szCs w:val="20"/>
          <w:color w:val="auto"/>
        </w:rPr>
      </w:pPr>
    </w:p>
    <w:p>
      <w:pPr>
        <w:ind w:left="300" w:right="260" w:firstLine="426"/>
        <w:spacing w:after="0" w:line="261" w:lineRule="auto"/>
        <w:rPr>
          <w:sz w:val="20"/>
          <w:szCs w:val="20"/>
          <w:color w:val="auto"/>
        </w:rPr>
      </w:pPr>
      <w:r>
        <w:rPr>
          <w:rFonts w:ascii="Times New Roman" w:cs="Times New Roman" w:eastAsia="Times New Roman" w:hAnsi="Times New Roman"/>
          <w:sz w:val="18"/>
          <w:szCs w:val="18"/>
          <w:color w:val="auto"/>
        </w:rPr>
        <w:t>In addition, certain of our directors and executive officers currently have, and any of them in the future may have additional, fiduciary and contractual duties to other entities, including without limitation, Ares and the Ares funds or their current or former portfolio companies. These funds may have overlapping investment objectives and potential conflicts may arise with respect to Ares’ decision regarding how to allocate investment</w:t>
      </w: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24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opportunities among these funds. If any of our directors and executive officers becomes aware of a business combination opportunity that is suitable for a fund or entity to which he or she has then-current fiduciary or contractual obligations (including, without limitation, any Ares funds or their current or former portfolio companies), then, subject to their fiduciary duties under Cayman Islands law, he or she will need to honor such fiduciary or contractual obligations to present such business combination opportunity to such fund or entity, before we can pursue such opportunity. If Ares, the Ares funds or other entities decide to pursue any such opportunity, we may be precluded from pursuing the same. In addition, investment ideas generated within or presented to Ares or our directors and executive officers may be suitable for both us and Ares, a current or future Ares fund or one or more of their portfolio companies and, subject to applicable fiduciary duties or contractual obligations, will first be directed to Ares, such fund, investment vehicle or portfolio company before being directed, if at all, to us. However, we do not expect these fiduciary duties or contractual obligations to materially affect our ability to complete our initial business combination.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 Accordingly, none of Ares or our directors or officers will have obligations to present a business combination opportunity to us.</w:t>
      </w:r>
    </w:p>
    <w:p>
      <w:pPr>
        <w:spacing w:after="0" w:line="196"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Our directors and officers or Ares or its affiliates, including the Ares funds, may sponsor, form or participate in other blank check companies similar to ours during the period in which we are seeking an initial business combination. Any such companies may present additional conflicts of interest in pursuing an acquisition target, particularly in the event there is overlap among investment mandates and the director and officer teams. In addition, Ares has sponsored other blank check companies in the past and may sponsor other blank check companies similar to ours during the period in which we are seeking an initial business combination, and members of our management team may participate in such blank check companies. In particular, an affiliate of Ares formed, and such affiliate, Mr. Kaplan, Mr. Arougheti, Mr. Phillips, Ms. Satin and Mr. Ogilvie are actively engaged in, AAC, a special purpose acquisition company that completed its initial public offering in February 2021. AAC, like us, may pursue initial business combination targets in any businesses or industries and has until February 2023 to do so (which date may be extended under certain circumstances). Any such companies, including AAC, may present additional conflicts of interest in pursuing an acquisition target, particularly if there is overlap among investment mandates and the board and management teams. However, we do not currently expect that any such other blank check company would materially affect our ability to complete our initial business combination.</w:t>
      </w:r>
    </w:p>
    <w:p>
      <w:pPr>
        <w:spacing w:after="0" w:line="192"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In addition, our officers and directors are not required to commit any specified amount of time to our affairs, and, accordingly, will have conflicts of interest in allocating time among various business activities, including identifying potential business combinations and monitoring the related due diligence. Moreover, our officers and directors including, our chief executive officer, David B. Kaplan are and in the future will be required to commit time and attention to Ares and current and future Ares funds. To the extent any conflict of interest arises between, on the one hand, us and, on the other hand, any of such entities (including, without limitation, arising as a result of certain of officers and directors being required to offer acquisition opportunities to such entities), Ares and its affiliated funds will resolve such conflicts of interest in their sole discretion in accordance with their then existing fiduciary, contractual and other duties and there can be no assurance that such conflict of interest will be resolved in our favor.</w:t>
      </w:r>
    </w:p>
    <w:p>
      <w:pPr>
        <w:spacing w:after="0" w:line="3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744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47447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Our executive offices are located at 245 Park Avenue, 44th Floor, New York, New York 10167, and our telephone number is (212) 750-7300.</w:t>
      </w:r>
    </w:p>
    <w:p>
      <w:pPr>
        <w:spacing w:after="0" w:line="237"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Law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88"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as a result some investors find our securities unattractive there may be a less active trading market for our securities and the trading prices of our securities may be more volatile.</w:t>
      </w:r>
    </w:p>
    <w:p>
      <w:pPr>
        <w:spacing w:after="0" w:line="192"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June 30th of that fiscal year, and (2) the date on which we have issued more than $1.0 billion in non-convertible debt securities during the prior three-year period.</w:t>
      </w:r>
    </w:p>
    <w:p>
      <w:pPr>
        <w:spacing w:after="0" w:line="37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320" w:top="455" w:right="6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816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In deciding whether to invest in our securities, you should take into account not only the backgrounds of our directors and executive officers,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pacing w:after="0" w:line="207"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Securities offered</w:t>
      </w:r>
      <w:r>
        <w:rPr>
          <w:sz w:val="20"/>
          <w:szCs w:val="20"/>
          <w:color w:val="auto"/>
        </w:rPr>
        <w:tab/>
      </w:r>
      <w:r>
        <w:rPr>
          <w:rFonts w:ascii="Times New Roman" w:cs="Times New Roman" w:eastAsia="Times New Roman" w:hAnsi="Times New Roman"/>
          <w:sz w:val="17"/>
          <w:szCs w:val="17"/>
          <w:color w:val="auto"/>
        </w:rPr>
        <w:t>87,500,000 units (or 100,625,000 units if the underwriters’ over-allotment option is</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exercised in full), at $10.00 per unit, each unit consisting of:</w:t>
      </w:r>
    </w:p>
    <w:p>
      <w:pPr>
        <w:spacing w:after="0" w:line="11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one Class A ordinary share; and</w:t>
      </w:r>
    </w:p>
    <w:p>
      <w:pPr>
        <w:spacing w:after="0" w:line="1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one-fifth of one redeemable warrant.</w:t>
      </w:r>
    </w:p>
    <w:p>
      <w:pPr>
        <w:spacing w:after="0" w:line="252" w:lineRule="exact"/>
        <w:rPr>
          <w:sz w:val="20"/>
          <w:szCs w:val="20"/>
          <w:color w:val="auto"/>
        </w:rPr>
      </w:pPr>
    </w:p>
    <w:p>
      <w:pPr>
        <w:ind w:left="300"/>
        <w:spacing w:after="0"/>
        <w:tabs>
          <w:tab w:leader="none" w:pos="4320" w:val="left"/>
          <w:tab w:leader="none" w:pos="5600" w:val="left"/>
        </w:tabs>
        <w:rPr>
          <w:sz w:val="20"/>
          <w:szCs w:val="20"/>
          <w:color w:val="auto"/>
        </w:rPr>
      </w:pPr>
      <w:r>
        <w:rPr>
          <w:rFonts w:ascii="Times New Roman" w:cs="Times New Roman" w:eastAsia="Times New Roman" w:hAnsi="Times New Roman"/>
          <w:sz w:val="18"/>
          <w:szCs w:val="18"/>
          <w:color w:val="auto"/>
        </w:rPr>
        <w:t>Proposed NYSE symbols</w:t>
      </w:r>
      <w:r>
        <w:rPr>
          <w:sz w:val="20"/>
          <w:szCs w:val="20"/>
          <w:color w:val="auto"/>
        </w:rPr>
        <w:tab/>
      </w:r>
      <w:r>
        <w:rPr>
          <w:rFonts w:ascii="Times New Roman" w:cs="Times New Roman" w:eastAsia="Times New Roman" w:hAnsi="Times New Roman"/>
          <w:sz w:val="18"/>
          <w:szCs w:val="18"/>
          <w:color w:val="auto"/>
        </w:rPr>
        <w:t>Units: “</w:t>
      </w:r>
      <w:r>
        <w:rPr>
          <w:sz w:val="20"/>
          <w:szCs w:val="20"/>
          <w:color w:val="auto"/>
        </w:rPr>
        <w:tab/>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4340"/>
        <w:spacing w:after="0"/>
        <w:tabs>
          <w:tab w:leader="none" w:pos="6920" w:val="left"/>
        </w:tabs>
        <w:rPr>
          <w:sz w:val="20"/>
          <w:szCs w:val="20"/>
          <w:color w:val="auto"/>
        </w:rPr>
      </w:pPr>
      <w:r>
        <w:rPr>
          <w:rFonts w:ascii="Times New Roman" w:cs="Times New Roman" w:eastAsia="Times New Roman" w:hAnsi="Times New Roman"/>
          <w:sz w:val="18"/>
          <w:szCs w:val="18"/>
          <w:color w:val="auto"/>
        </w:rPr>
        <w:t>Class A ordinary shares: “</w:t>
      </w:r>
      <w:r>
        <w:rPr>
          <w:sz w:val="20"/>
          <w:szCs w:val="20"/>
          <w:color w:val="auto"/>
        </w:rPr>
        <w:tab/>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340"/>
        <w:spacing w:after="0"/>
        <w:tabs>
          <w:tab w:leader="none" w:pos="5860" w:val="left"/>
        </w:tabs>
        <w:rPr>
          <w:sz w:val="20"/>
          <w:szCs w:val="20"/>
          <w:color w:val="auto"/>
        </w:rPr>
      </w:pPr>
      <w:r>
        <w:rPr>
          <w:rFonts w:ascii="Times New Roman" w:cs="Times New Roman" w:eastAsia="Times New Roman" w:hAnsi="Times New Roman"/>
          <w:sz w:val="18"/>
          <w:szCs w:val="18"/>
          <w:color w:val="auto"/>
        </w:rPr>
        <w:t>Warrants: “</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10940"/>
          </w:cols>
          <w:pgMar w:left="320" w:top="455" w:right="639" w:bottom="1440" w:gutter="0" w:footer="0" w:header="0"/>
        </w:sectPr>
      </w:pPr>
    </w:p>
    <w:p>
      <w:pPr>
        <w:spacing w:after="0" w:line="252" w:lineRule="exact"/>
        <w:rPr>
          <w:sz w:val="20"/>
          <w:szCs w:val="20"/>
          <w:color w:val="auto"/>
        </w:rPr>
      </w:pPr>
    </w:p>
    <w:p>
      <w:pPr>
        <w:ind w:left="380" w:right="120" w:hanging="78"/>
        <w:spacing w:after="0" w:line="282" w:lineRule="auto"/>
        <w:rPr>
          <w:sz w:val="20"/>
          <w:szCs w:val="20"/>
          <w:color w:val="auto"/>
        </w:rPr>
      </w:pPr>
      <w:r>
        <w:rPr>
          <w:rFonts w:ascii="Times New Roman" w:cs="Times New Roman" w:eastAsia="Times New Roman" w:hAnsi="Times New Roman"/>
          <w:sz w:val="18"/>
          <w:szCs w:val="18"/>
          <w:color w:val="auto"/>
        </w:rPr>
        <w:t>Trading commencement and separation of 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380" w:hanging="78"/>
        <w:spacing w:after="0" w:line="266" w:lineRule="auto"/>
        <w:rPr>
          <w:sz w:val="20"/>
          <w:szCs w:val="20"/>
          <w:color w:val="auto"/>
        </w:rPr>
      </w:pPr>
      <w:r>
        <w:rPr>
          <w:rFonts w:ascii="Times New Roman" w:cs="Times New Roman" w:eastAsia="Times New Roman" w:hAnsi="Times New Roman"/>
          <w:sz w:val="18"/>
          <w:szCs w:val="18"/>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units are expected to begin trading on or promptly after the date of this prospectus. The Class A ordinary shares and warrants comprising the units will begin separate trading on the 52nd day following the date of this prospectus unless the representatives inform us of their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to separate the units into Class A ordinary shares and warrants. No fractional warrants will be issued upon separation of the units and only whole warrants will trade. Accordingly, unless you purchase at least five units, you will not be able to receive or trade a whole warrant.</w:t>
      </w:r>
    </w:p>
    <w:p>
      <w:pPr>
        <w:spacing w:after="0" w:line="2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Additionally, the units will automatically separate into their component parts and will not be traded after completion of our initial business combination.</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 event will the Class A ordinary shares and warrants be traded separately until we have filed with the SEC a Current Report on Form 8-K that includes an audited balance sheet reflecting our receipt of the gross proceeds at the closing of this offering. We will file the</w:t>
      </w:r>
    </w:p>
    <w:p>
      <w:pPr>
        <w:spacing w:after="0" w:line="200" w:lineRule="exact"/>
        <w:rPr>
          <w:sz w:val="20"/>
          <w:szCs w:val="20"/>
          <w:color w:val="auto"/>
        </w:rPr>
      </w:pPr>
    </w:p>
    <w:p>
      <w:pPr>
        <w:sectPr>
          <w:pgSz w:w="11900" w:h="16838" w:orient="portrait"/>
          <w:cols w:equalWidth="0" w:num="2">
            <w:col w:w="4060" w:space="280"/>
            <w:col w:w="6600"/>
          </w:cols>
          <w:pgMar w:left="320" w:top="455" w:right="639" w:bottom="1440" w:gutter="0" w:footer="0" w:header="0"/>
          <w:type w:val="continuous"/>
        </w:sectPr>
      </w:pPr>
    </w:p>
    <w:p>
      <w:pPr>
        <w:spacing w:after="0" w:line="1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62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Current Report on Form 8-K promptly after the closing of this offering. If the underwriters’</w:t>
            </w:r>
          </w:p>
        </w:tc>
      </w:tr>
      <w:tr>
        <w:trPr>
          <w:trHeight w:val="216"/>
        </w:trPr>
        <w:tc>
          <w:tcPr>
            <w:tcW w:w="394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over-allotment option is exercised following the initial filing of such Current Report on</w:t>
            </w:r>
          </w:p>
        </w:tc>
      </w:tr>
      <w:tr>
        <w:trPr>
          <w:trHeight w:val="216"/>
        </w:trPr>
        <w:tc>
          <w:tcPr>
            <w:tcW w:w="394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8-K, a second or amended Current Report on Form 8-K will be filed to provide</w:t>
            </w:r>
          </w:p>
        </w:tc>
      </w:tr>
      <w:tr>
        <w:trPr>
          <w:trHeight w:val="216"/>
        </w:trPr>
        <w:tc>
          <w:tcPr>
            <w:tcW w:w="394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updated financial information to reflect the exercise of the underwriters’ over-allotment</w:t>
            </w:r>
          </w:p>
        </w:tc>
      </w:tr>
      <w:tr>
        <w:trPr>
          <w:trHeight w:val="234"/>
        </w:trPr>
        <w:tc>
          <w:tcPr>
            <w:tcW w:w="3940" w:type="dxa"/>
            <w:vAlign w:val="bottom"/>
          </w:tcPr>
          <w:p>
            <w:pPr>
              <w:spacing w:after="0"/>
              <w:rPr>
                <w:sz w:val="20"/>
                <w:szCs w:val="20"/>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w:t>
            </w:r>
          </w:p>
        </w:tc>
      </w:tr>
      <w:tr>
        <w:trPr>
          <w:trHeight w:val="445"/>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w:t>
            </w:r>
          </w:p>
        </w:tc>
        <w:tc>
          <w:tcPr>
            <w:tcW w:w="6680" w:type="dxa"/>
            <w:vAlign w:val="bottom"/>
          </w:tcPr>
          <w:p>
            <w:pPr>
              <w:spacing w:after="0"/>
              <w:rPr>
                <w:sz w:val="24"/>
                <w:szCs w:val="24"/>
                <w:color w:val="auto"/>
              </w:rPr>
            </w:pPr>
          </w:p>
        </w:tc>
      </w:tr>
      <w:tr>
        <w:trPr>
          <w:trHeight w:val="45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before this offering</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47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after this offering</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87,500,000</w:t>
            </w:r>
            <w:r>
              <w:rPr>
                <w:rFonts w:ascii="Times New Roman" w:cs="Times New Roman" w:eastAsia="Times New Roman" w:hAnsi="Times New Roman"/>
                <w:sz w:val="15"/>
                <w:szCs w:val="15"/>
                <w:color w:val="auto"/>
              </w:rPr>
              <w:t>(1)</w:t>
            </w:r>
          </w:p>
        </w:tc>
      </w:tr>
      <w:tr>
        <w:trPr>
          <w:trHeight w:val="44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w:t>
            </w:r>
          </w:p>
        </w:tc>
        <w:tc>
          <w:tcPr>
            <w:tcW w:w="6680" w:type="dxa"/>
            <w:vAlign w:val="bottom"/>
          </w:tcPr>
          <w:p>
            <w:pPr>
              <w:spacing w:after="0"/>
              <w:rPr>
                <w:sz w:val="24"/>
                <w:szCs w:val="24"/>
                <w:color w:val="auto"/>
              </w:rPr>
            </w:pPr>
          </w:p>
        </w:tc>
      </w:tr>
      <w:tr>
        <w:trPr>
          <w:trHeight w:val="45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before this offering</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25,156,250</w:t>
            </w:r>
            <w:r>
              <w:rPr>
                <w:rFonts w:ascii="Times New Roman" w:cs="Times New Roman" w:eastAsia="Times New Roman" w:hAnsi="Times New Roman"/>
                <w:sz w:val="15"/>
                <w:szCs w:val="15"/>
                <w:color w:val="auto"/>
              </w:rPr>
              <w:t>(2)(3)</w:t>
            </w:r>
          </w:p>
        </w:tc>
      </w:tr>
      <w:tr>
        <w:trPr>
          <w:trHeight w:val="47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after this offering</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109,375,000</w:t>
            </w:r>
            <w:r>
              <w:rPr>
                <w:rFonts w:ascii="Times New Roman" w:cs="Times New Roman" w:eastAsia="Times New Roman" w:hAnsi="Times New Roman"/>
                <w:sz w:val="15"/>
                <w:szCs w:val="15"/>
                <w:color w:val="auto"/>
              </w:rPr>
              <w:t>(1)(2)(4)</w:t>
            </w:r>
          </w:p>
        </w:tc>
      </w:tr>
      <w:tr>
        <w:trPr>
          <w:trHeight w:val="44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tc>
        <w:tc>
          <w:tcPr>
            <w:tcW w:w="6680" w:type="dxa"/>
            <w:vAlign w:val="bottom"/>
          </w:tcPr>
          <w:p>
            <w:pPr>
              <w:spacing w:after="0"/>
              <w:rPr>
                <w:sz w:val="24"/>
                <w:szCs w:val="24"/>
                <w:color w:val="auto"/>
              </w:rPr>
            </w:pPr>
          </w:p>
        </w:tc>
      </w:tr>
      <w:tr>
        <w:trPr>
          <w:trHeight w:val="44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Number of private placement warrants to be sold in a</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15,000,000</w:t>
            </w:r>
            <w:r>
              <w:rPr>
                <w:rFonts w:ascii="Times New Roman" w:cs="Times New Roman" w:eastAsia="Times New Roman" w:hAnsi="Times New Roman"/>
                <w:sz w:val="15"/>
                <w:szCs w:val="15"/>
                <w:color w:val="auto"/>
              </w:rPr>
              <w:t>(1)</w:t>
            </w:r>
          </w:p>
        </w:tc>
      </w:tr>
      <w:tr>
        <w:trPr>
          <w:trHeight w:val="234"/>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private placement simultaneously with this offering</w:t>
            </w:r>
          </w:p>
        </w:tc>
        <w:tc>
          <w:tcPr>
            <w:tcW w:w="6680" w:type="dxa"/>
            <w:vAlign w:val="bottom"/>
          </w:tcPr>
          <w:p>
            <w:pPr>
              <w:spacing w:after="0"/>
              <w:rPr>
                <w:sz w:val="20"/>
                <w:szCs w:val="20"/>
                <w:color w:val="auto"/>
              </w:rPr>
            </w:pPr>
          </w:p>
        </w:tc>
      </w:tr>
      <w:tr>
        <w:trPr>
          <w:trHeight w:val="454"/>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warrants to be outstanding after this offering32,500,000</w:t>
            </w:r>
            <w:r>
              <w:rPr>
                <w:rFonts w:ascii="Times New Roman" w:cs="Times New Roman" w:eastAsia="Times New Roman" w:hAnsi="Times New Roman"/>
                <w:sz w:val="15"/>
                <w:szCs w:val="15"/>
                <w:color w:val="auto"/>
              </w:rPr>
              <w:t>(1)</w:t>
            </w:r>
          </w:p>
        </w:tc>
      </w:tr>
      <w:tr>
        <w:trPr>
          <w:trHeight w:val="234"/>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the sale of private placement warrants</w:t>
            </w:r>
          </w:p>
        </w:tc>
        <w:tc>
          <w:tcPr>
            <w:tcW w:w="6680" w:type="dxa"/>
            <w:vAlign w:val="bottom"/>
          </w:tcPr>
          <w:p>
            <w:pPr>
              <w:spacing w:after="0"/>
              <w:rPr>
                <w:sz w:val="20"/>
                <w:szCs w:val="20"/>
                <w:color w:val="auto"/>
              </w:rPr>
            </w:pPr>
          </w:p>
        </w:tc>
      </w:tr>
      <w:tr>
        <w:trPr>
          <w:trHeight w:val="45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Exercisability</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Each whole warrant sold in this offering is exercisable to purchase one Class A ordinary</w:t>
            </w:r>
          </w:p>
        </w:tc>
      </w:tr>
      <w:tr>
        <w:trPr>
          <w:trHeight w:val="234"/>
        </w:trPr>
        <w:tc>
          <w:tcPr>
            <w:tcW w:w="3940" w:type="dxa"/>
            <w:vAlign w:val="bottom"/>
          </w:tcPr>
          <w:p>
            <w:pPr>
              <w:spacing w:after="0"/>
              <w:rPr>
                <w:sz w:val="20"/>
                <w:szCs w:val="20"/>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subject to adjustment as described herein. Only whole warrants are exercisable.</w:t>
            </w:r>
          </w:p>
        </w:tc>
      </w:tr>
    </w:tbl>
    <w:p>
      <w:pPr>
        <w:spacing w:after="0" w:line="225" w:lineRule="exact"/>
        <w:rPr>
          <w:sz w:val="20"/>
          <w:szCs w:val="20"/>
          <w:color w:val="auto"/>
        </w:rPr>
      </w:pPr>
    </w:p>
    <w:p>
      <w:pPr>
        <w:jc w:val="both"/>
        <w:ind w:left="4340" w:right="400"/>
        <w:spacing w:after="0" w:line="261" w:lineRule="auto"/>
        <w:rPr>
          <w:sz w:val="20"/>
          <w:szCs w:val="20"/>
          <w:color w:val="auto"/>
        </w:rPr>
      </w:pPr>
      <w:r>
        <w:rPr>
          <w:rFonts w:ascii="Times New Roman" w:cs="Times New Roman" w:eastAsia="Times New Roman" w:hAnsi="Times New Roman"/>
          <w:sz w:val="18"/>
          <w:szCs w:val="18"/>
          <w:color w:val="auto"/>
        </w:rPr>
        <w:t>We structured each unit to contain one-fifth of one warrant, with each whole warrant exercisable for one Class A ordinary share, as compared to units issued by some other similar blank check companies that contain whole warrants exercisable for one whole share, to reduce the dilutive effect of the warrants upon completion of</w:t>
      </w:r>
    </w:p>
    <w:p>
      <w:pPr>
        <w:spacing w:after="0" w:line="153" w:lineRule="exact"/>
        <w:rPr>
          <w:sz w:val="20"/>
          <w:szCs w:val="20"/>
          <w:color w:val="auto"/>
        </w:rPr>
      </w:pPr>
    </w:p>
    <w:p>
      <w:pPr>
        <w:ind w:left="720" w:hanging="422"/>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w:t>
      </w:r>
    </w:p>
    <w:p>
      <w:pPr>
        <w:spacing w:after="0" w:line="27" w:lineRule="exact"/>
        <w:rPr>
          <w:rFonts w:ascii="Times New Roman" w:cs="Times New Roman" w:eastAsia="Times New Roman" w:hAnsi="Times New Roman"/>
          <w:sz w:val="18"/>
          <w:szCs w:val="18"/>
          <w:color w:val="auto"/>
        </w:rPr>
      </w:pPr>
    </w:p>
    <w:p>
      <w:pPr>
        <w:ind w:left="720" w:hanging="422"/>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shares are currently classified as Class B ordinary shares, which shares will automatically convert into Class A ordinary shares at the time of our initial business combination as described below adjacent to the caption “Founder shares conversion and anti-dilution rights” and in our amended and restated memorandum and articles of association.</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3,281,250 founder shares that are subject to forfeiture.</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87,500,000 public shares and 21,875,000 founder shares, assuming 3,281,250 founder shares have been forfeited.</w:t>
      </w: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320" w:top="455"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 business combination as compared to units that each contain a warrant to purchase one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whole share. We believe this makes us a more attractive business combination partner for</w:t>
            </w:r>
          </w:p>
        </w:tc>
      </w:tr>
      <w:tr>
        <w:trPr>
          <w:trHeight w:val="234"/>
        </w:trPr>
        <w:tc>
          <w:tcPr>
            <w:tcW w:w="2580" w:type="dxa"/>
            <w:vAlign w:val="bottom"/>
          </w:tcPr>
          <w:p>
            <w:pPr>
              <w:spacing w:after="0"/>
              <w:rPr>
                <w:sz w:val="20"/>
                <w:szCs w:val="20"/>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target businesses.</w:t>
            </w:r>
          </w:p>
        </w:tc>
      </w:tr>
      <w:tr>
        <w:trPr>
          <w:trHeight w:val="45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$11.50 per whole share, subject to adjustments as described herein. In addition, if (x) we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issue additional Class A ordinary shares or equity-linked securities for capital raising</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w w:val="99"/>
              </w:rPr>
              <w:t>purposes in connection with the closing of our initial business combination at an issue price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or effective issue price of less than $9.20 per ordinary share (with such issue price or</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effective issue price to be determined in good faith by us and, (i) in the case of any such</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w w:val="99"/>
              </w:rPr>
              <w:t>issuance to our sponsor or its affiliates, without taking into account any founder shares held</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by our sponsor or such affiliates, as applicable, prior to such issuance, and (ii) to the extent</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that such issuance is made to our sponsor or its affiliates, without taking into account the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transfer of founder shares or private placement warrants (including if such transfer is</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effectuated as a surrender to us and subsequent reissuance by us) by our sponsor in</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w w:val="99"/>
              </w:rPr>
              <w:t>connection with such issuance (the “Newly Issued Price”), (y) the aggregate gross proceeds</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from such issuances represent more than 60% of the total equity proceeds, and interest</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thereon, available for the funding of our initial business combination on the date of the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consummation of our initial business combination (net of redemptions), and (z) the volume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weighted average trading price of our Class A ordinary shares during the 20 trading day</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period starting on the trading day prior to the day on which we consummate our initial</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business combination (such price, the “Market Value”) is below $9.20 per share, the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exercise price of the warrants will be adjusted (to the nearest cent) to be equal to 115% of</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the higher of the Market Value and the Newly Issued Price, the $18.00 per share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redemption trigger price described adjacent to “Redemption of warrants when the price per</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Class A ordinary share equals or exceeds $18.00” and “Redemption of warrants when the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price per Class A ordinary share equals or exceeds $10.00” will be adjusted (to the nearest</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cent) to be equal to 180% of the higher of the Market Value and the Newly Issued Price,</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and the $10.00 per share redemption trigger price described adjacent to the caption</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w:t>
            </w:r>
          </w:p>
        </w:tc>
      </w:tr>
      <w:tr>
        <w:trPr>
          <w:trHeight w:val="216"/>
        </w:trPr>
        <w:tc>
          <w:tcPr>
            <w:tcW w:w="25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$10.00” will be adjusted (to the nearest cent) to be equal to the higher of the Market Value</w:t>
            </w:r>
          </w:p>
        </w:tc>
      </w:tr>
      <w:tr>
        <w:trPr>
          <w:trHeight w:val="234"/>
        </w:trPr>
        <w:tc>
          <w:tcPr>
            <w:tcW w:w="2580" w:type="dxa"/>
            <w:vAlign w:val="bottom"/>
          </w:tcPr>
          <w:p>
            <w:pPr>
              <w:spacing w:after="0"/>
              <w:rPr>
                <w:sz w:val="20"/>
                <w:szCs w:val="20"/>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and the Newly Issued Price.</w:t>
            </w:r>
          </w:p>
        </w:tc>
      </w:tr>
      <w:tr>
        <w:trPr>
          <w:trHeight w:val="459"/>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Exercise period</w:t>
            </w: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The warrants will become exercisable on the later of:</w:t>
            </w:r>
          </w:p>
        </w:tc>
      </w:tr>
      <w:tr>
        <w:trPr>
          <w:trHeight w:val="351"/>
        </w:trPr>
        <w:tc>
          <w:tcPr>
            <w:tcW w:w="2580" w:type="dxa"/>
            <w:vAlign w:val="bottom"/>
          </w:tcPr>
          <w:p>
            <w:pPr>
              <w:spacing w:after="0"/>
              <w:rPr>
                <w:sz w:val="24"/>
                <w:szCs w:val="24"/>
                <w:color w:val="auto"/>
              </w:rPr>
            </w:pPr>
          </w:p>
        </w:tc>
        <w:tc>
          <w:tcPr>
            <w:tcW w:w="1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 days after the completion of our initial business combination; and</w:t>
            </w:r>
          </w:p>
        </w:tc>
      </w:tr>
      <w:tr>
        <w:trPr>
          <w:trHeight w:val="338"/>
        </w:trPr>
        <w:tc>
          <w:tcPr>
            <w:tcW w:w="2580" w:type="dxa"/>
            <w:vAlign w:val="bottom"/>
          </w:tcPr>
          <w:p>
            <w:pPr>
              <w:spacing w:after="0"/>
              <w:rPr>
                <w:sz w:val="24"/>
                <w:szCs w:val="24"/>
                <w:color w:val="auto"/>
              </w:rPr>
            </w:pPr>
          </w:p>
        </w:tc>
        <w:tc>
          <w:tcPr>
            <w:tcW w:w="1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twelve months from the closing of this offering;</w:t>
            </w:r>
          </w:p>
        </w:tc>
      </w:tr>
      <w:tr>
        <w:trPr>
          <w:trHeight w:val="441"/>
        </w:trPr>
        <w:tc>
          <w:tcPr>
            <w:tcW w:w="2580" w:type="dxa"/>
            <w:vAlign w:val="bottom"/>
          </w:tcPr>
          <w:p>
            <w:pPr>
              <w:spacing w:after="0"/>
              <w:rPr>
                <w:sz w:val="24"/>
                <w:szCs w:val="24"/>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in each case that we have an effective registration statement under the Securities</w:t>
            </w:r>
          </w:p>
        </w:tc>
      </w:tr>
      <w:tr>
        <w:trPr>
          <w:trHeight w:val="234"/>
        </w:trPr>
        <w:tc>
          <w:tcPr>
            <w:tcW w:w="2580" w:type="dxa"/>
            <w:vAlign w:val="bottom"/>
          </w:tcPr>
          <w:p>
            <w:pPr>
              <w:spacing w:after="0"/>
              <w:rPr>
                <w:sz w:val="20"/>
                <w:szCs w:val="20"/>
                <w:color w:val="auto"/>
              </w:rPr>
            </w:pPr>
          </w:p>
        </w:tc>
        <w:tc>
          <w:tcPr>
            <w:tcW w:w="8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w w:val="99"/>
              </w:rPr>
              <w:t>Act covering the issuance of Class A ordinary shares issuable upon exercise of the warrants</w:t>
            </w:r>
          </w:p>
        </w:tc>
      </w:tr>
    </w:tbl>
    <w:p>
      <w:pPr>
        <w:ind w:left="4340" w:right="560"/>
        <w:spacing w:after="0" w:line="260" w:lineRule="auto"/>
        <w:rPr>
          <w:sz w:val="20"/>
          <w:szCs w:val="20"/>
          <w:color w:val="auto"/>
        </w:rPr>
      </w:pPr>
      <w:r>
        <w:rPr>
          <w:rFonts w:ascii="Times New Roman" w:cs="Times New Roman" w:eastAsia="Times New Roman" w:hAnsi="Times New Roman"/>
          <w:sz w:val="18"/>
          <w:szCs w:val="18"/>
          <w:color w:val="auto"/>
        </w:rPr>
        <w:t>and a current prospectus relating to them is available and such shares are registered, qualified or exempt from registration under the securities, or blue sky, laws of</w:t>
      </w:r>
    </w:p>
    <w:p>
      <w:pPr>
        <w:spacing w:after="0" w:line="3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721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$18.00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 w:right="100"/>
        <w:spacing w:after="0" w:line="255" w:lineRule="auto"/>
        <w:rPr>
          <w:sz w:val="20"/>
          <w:szCs w:val="20"/>
          <w:color w:val="auto"/>
        </w:rPr>
      </w:pPr>
      <w:r>
        <w:rPr>
          <w:rFonts w:ascii="Times New Roman" w:cs="Times New Roman" w:eastAsia="Times New Roman" w:hAnsi="Times New Roman"/>
          <w:sz w:val="18"/>
          <w:szCs w:val="18"/>
          <w:color w:val="auto"/>
        </w:rPr>
        <w:t>the state of residence of the holder (or we permit holders to exercise their warrants on a cashless basis under the circumstances specified in the warrant agreement, including as a result of a notice of redemption described below under “Redemption of warrants when the price per Class A ordinary share equals or exceeds $10.00”). If and when the warrants become redeemable by us, we may exercise our redemption right even if we are unable to register or qualify the underlying securities for sale under all applicable state securities laws.</w:t>
      </w:r>
    </w:p>
    <w:p>
      <w:pPr>
        <w:spacing w:after="0" w:line="229" w:lineRule="exact"/>
        <w:rPr>
          <w:sz w:val="20"/>
          <w:szCs w:val="20"/>
          <w:color w:val="auto"/>
        </w:rPr>
      </w:pPr>
    </w:p>
    <w:p>
      <w:pPr>
        <w:ind w:left="5" w:right="40"/>
        <w:spacing w:after="0" w:line="267" w:lineRule="auto"/>
        <w:rPr>
          <w:sz w:val="20"/>
          <w:szCs w:val="20"/>
          <w:color w:val="auto"/>
        </w:rPr>
      </w:pPr>
      <w:r>
        <w:rPr>
          <w:rFonts w:ascii="Times New Roman" w:cs="Times New Roman" w:eastAsia="Times New Roman" w:hAnsi="Times New Roman"/>
          <w:sz w:val="17"/>
          <w:szCs w:val="17"/>
          <w:color w:val="auto"/>
        </w:rPr>
        <w:t>We are not registering the Class A ordinary shares issuable upon exercise of the warrants at this time. However, we have agreed that as soon as practicable, but in no event later than 20 business days after the closing of our initial business combination, we will use our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provided that if our Class A ordinary shares are at the time of exercise of a warrant not listed on a national securities exchange such that they satisfy the definition of a “covered security” under Section 18(b)</w:t>
      </w:r>
    </w:p>
    <w:p>
      <w:pPr>
        <w:spacing w:after="0" w:line="5" w:lineRule="exact"/>
        <w:rPr>
          <w:sz w:val="20"/>
          <w:szCs w:val="20"/>
          <w:color w:val="auto"/>
        </w:rPr>
      </w:pPr>
    </w:p>
    <w:p>
      <w:pPr>
        <w:ind w:left="245" w:hanging="245"/>
        <w:spacing w:after="0"/>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we may, at our option, require holders of public warrants who</w:t>
      </w:r>
    </w:p>
    <w:p>
      <w:pPr>
        <w:spacing w:after="0" w:line="9" w:lineRule="exact"/>
        <w:rPr>
          <w:rFonts w:ascii="Times New Roman" w:cs="Times New Roman" w:eastAsia="Times New Roman" w:hAnsi="Times New Roman"/>
          <w:sz w:val="18"/>
          <w:szCs w:val="18"/>
          <w:color w:val="auto"/>
        </w:rPr>
      </w:pPr>
    </w:p>
    <w:p>
      <w:pPr>
        <w:ind w:left="5"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 (9) of the Securities Act or another exemption.</w:t>
      </w:r>
    </w:p>
    <w:p>
      <w:pPr>
        <w:spacing w:after="0" w:line="220" w:lineRule="exact"/>
        <w:rPr>
          <w:sz w:val="20"/>
          <w:szCs w:val="20"/>
          <w:color w:val="auto"/>
        </w:rPr>
      </w:pPr>
    </w:p>
    <w:p>
      <w:pPr>
        <w:ind w:left="5"/>
        <w:spacing w:after="0" w:line="261" w:lineRule="auto"/>
        <w:rPr>
          <w:sz w:val="20"/>
          <w:szCs w:val="20"/>
          <w:color w:val="auto"/>
        </w:rPr>
      </w:pPr>
      <w:r>
        <w:rPr>
          <w:rFonts w:ascii="Times New Roman" w:cs="Times New Roman" w:eastAsia="Times New Roman" w:hAnsi="Times New Roman"/>
          <w:sz w:val="18"/>
          <w:szCs w:val="18"/>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207" w:lineRule="exact"/>
        <w:rPr>
          <w:sz w:val="20"/>
          <w:szCs w:val="20"/>
          <w:color w:val="auto"/>
        </w:rPr>
      </w:pPr>
    </w:p>
    <w:p>
      <w:pPr>
        <w:ind w:left="5" w:right="20"/>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we may redeem the outstanding warrants (except as described herein with respect to the private placement warrants):</w:t>
      </w:r>
    </w:p>
    <w:p>
      <w:pPr>
        <w:spacing w:after="0" w:line="81" w:lineRule="exact"/>
        <w:rPr>
          <w:sz w:val="20"/>
          <w:szCs w:val="20"/>
          <w:color w:val="auto"/>
        </w:rPr>
      </w:pPr>
    </w:p>
    <w:p>
      <w:pPr>
        <w:ind w:left="185" w:hanging="153"/>
        <w:spacing w:after="0"/>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85" w:hanging="153"/>
        <w:spacing w:after="0"/>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00" w:lineRule="exact"/>
        <w:rPr>
          <w:sz w:val="20"/>
          <w:szCs w:val="20"/>
          <w:color w:val="auto"/>
        </w:rPr>
      </w:pPr>
    </w:p>
    <w:p>
      <w:pPr>
        <w:sectPr>
          <w:pgSz w:w="11900" w:h="16838" w:orient="portrait"/>
          <w:cols w:equalWidth="0" w:num="2">
            <w:col w:w="4020" w:space="315"/>
            <w:col w:w="6605"/>
          </w:cols>
          <w:pgMar w:left="320" w:top="455" w:right="639" w:bottom="1440" w:gutter="0" w:footer="0" w:header="0"/>
          <w:type w:val="continuous"/>
        </w:sectPr>
      </w:pP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593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ectPr>
          <w:pgSz w:w="11900" w:h="16838" w:orient="portrait"/>
          <w:cols w:equalWidth="0" w:num="1">
            <w:col w:w="10920"/>
          </w:cols>
          <w:pgMar w:left="320" w:top="45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80" w:hanging="153"/>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which we refer to as the “30-day redemption period”; and</w:t>
      </w:r>
    </w:p>
    <w:p>
      <w:pPr>
        <w:spacing w:after="0" w:line="67" w:lineRule="exact"/>
        <w:rPr>
          <w:rFonts w:ascii="Times New Roman" w:cs="Times New Roman" w:eastAsia="Times New Roman" w:hAnsi="Times New Roman"/>
          <w:sz w:val="18"/>
          <w:szCs w:val="18"/>
          <w:color w:val="auto"/>
        </w:rPr>
      </w:pPr>
    </w:p>
    <w:p>
      <w:pPr>
        <w:ind w:left="180" w:right="100" w:hanging="153"/>
        <w:spacing w:after="0" w:line="256"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our ordinary shares equals or exceeds $18.00 per share (as adjusted for adjustments to the number of shares issuable upon exercise or the exercise price of a warrant as described under the heading “Description of Securities— Warrants—Public Shareholders’ Warrants—Anti-Dilution Adjustments”) for any 20 trading days within a 30-trading day period ending on the third trading day prior to the date on which we send the notice of redemption to the warrant holders.</w:t>
      </w:r>
    </w:p>
    <w:p>
      <w:pPr>
        <w:spacing w:after="0" w:line="21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an effective registration statement under the Securities Act covering the Class A ordinary shares issuable upon exercise of the warrants is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Except as set forth below, none of the private placement warrants will be redeemable by us so long as they are held by our sponsor or its permitted transferees.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we may redeem the outstanding warrants (except as described herein with respect to the private placement warrants):</w:t>
      </w:r>
    </w:p>
    <w:p>
      <w:pPr>
        <w:spacing w:after="0" w:line="81" w:lineRule="exact"/>
        <w:rPr>
          <w:sz w:val="20"/>
          <w:szCs w:val="20"/>
          <w:color w:val="auto"/>
        </w:rPr>
      </w:pPr>
    </w:p>
    <w:p>
      <w:pPr>
        <w:ind w:left="180" w:hanging="153"/>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80" w:right="60" w:hanging="153"/>
        <w:spacing w:after="0" w:line="255"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the table set forth under “Description of Securities—Warrants—Public Shareholders’ Warrants” based on the redemption date and the “fair market value” of our Class A ordinary shares (as defined below) except as otherwise described in “Description of Securities— Warrants—Public Shareholders’ Warrants”;</w:t>
      </w:r>
    </w:p>
    <w:p>
      <w:pPr>
        <w:spacing w:after="0" w:line="94" w:lineRule="exact"/>
        <w:rPr>
          <w:rFonts w:ascii="Times New Roman" w:cs="Times New Roman" w:eastAsia="Times New Roman" w:hAnsi="Times New Roman"/>
          <w:sz w:val="18"/>
          <w:szCs w:val="18"/>
          <w:color w:val="auto"/>
        </w:rPr>
      </w:pPr>
    </w:p>
    <w:p>
      <w:pPr>
        <w:ind w:left="180" w:right="60" w:hanging="153"/>
        <w:spacing w:after="0" w:line="256"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our Class A ordinary shares equals or exceeds $10.00 per public share (as adjusted for adjustments to the number of shares issuable upon exercise or the exercise price of a warrant as described under the heading “Description of Securities—Warrants—Public Shareholders’ Warrants—Antidilution Adjustments”) for any 20 trading days within the 30-trading day period ending three trading days before we send the notice of redemption to the warrant holders; and</w:t>
      </w:r>
    </w:p>
    <w:p>
      <w:pPr>
        <w:spacing w:after="0" w:line="200" w:lineRule="exact"/>
        <w:rPr>
          <w:sz w:val="20"/>
          <w:szCs w:val="20"/>
          <w:color w:val="auto"/>
        </w:rPr>
      </w:pPr>
    </w:p>
    <w:p>
      <w:pPr>
        <w:sectPr>
          <w:pgSz w:w="11900" w:h="16838" w:orient="portrait"/>
          <w:cols w:equalWidth="0" w:num="2">
            <w:col w:w="4020" w:space="320"/>
            <w:col w:w="6580"/>
          </w:cols>
          <w:pgMar w:left="320" w:top="455" w:right="659" w:bottom="1440" w:gutter="0" w:footer="0" w:header="0"/>
          <w:type w:val="continuous"/>
        </w:sectPr>
      </w:pPr>
    </w:p>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320" w:top="455" w:right="6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762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2762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20" w:right="260" w:hanging="156"/>
        <w:spacing w:after="0" w:line="254" w:lineRule="auto"/>
        <w:rPr>
          <w:sz w:val="20"/>
          <w:szCs w:val="20"/>
          <w:color w:val="auto"/>
        </w:rPr>
      </w:pPr>
      <w:r>
        <w:rPr>
          <w:rFonts w:ascii="Times New Roman" w:cs="Times New Roman" w:eastAsia="Times New Roman" w:hAnsi="Times New Roman"/>
          <w:sz w:val="18"/>
          <w:szCs w:val="18"/>
          <w:color w:val="auto"/>
        </w:rPr>
        <w:t>• 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Securities—Warrants—Public Shareholders’ Warrants—Anti- dilution Adjustments”), the private placement warrants must also be concurrently called for redemption on the same terms as the outstanding public warrants, as described above.</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The “fair market value” of our Class A ordinary shares for the above purpose shall mean</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the volume weighted average price of our Class A ordinary shares during the 10 trading</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days immediately following the date on which the notice of redemption is sent to the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holders of warrants. This redemption feature differs from the typical warrant redemption</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features used in other blank check offerings. We will provide our warrant holders with the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final fair market value no later than one business day after the 10 trading day period</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described above ends. In no event will the warrants be exercisable in connection with this</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redemption feature for more than 0.361 Class A ordinary shares per warrant (subject to</w:t>
            </w:r>
          </w:p>
        </w:tc>
      </w:tr>
      <w:tr>
        <w:trPr>
          <w:trHeight w:val="234"/>
        </w:trPr>
        <w:tc>
          <w:tcPr>
            <w:tcW w:w="2740" w:type="dxa"/>
            <w:vAlign w:val="bottom"/>
          </w:tcPr>
          <w:p>
            <w:pPr>
              <w:spacing w:after="0"/>
              <w:rPr>
                <w:sz w:val="20"/>
                <w:szCs w:val="20"/>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adjustment).</w:t>
            </w:r>
          </w:p>
        </w:tc>
      </w:tr>
      <w:tr>
        <w:trPr>
          <w:trHeight w:val="441"/>
        </w:trPr>
        <w:tc>
          <w:tcPr>
            <w:tcW w:w="2740" w:type="dxa"/>
            <w:vAlign w:val="bottom"/>
          </w:tcPr>
          <w:p>
            <w:pPr>
              <w:spacing w:after="0"/>
              <w:rPr>
                <w:sz w:val="24"/>
                <w:szCs w:val="24"/>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No fractional Class A ordinary shares will be issued upon redemption. If, upon redemption,</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 holder would be entitled to receive a fractional interest in a share, we will round down to</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the nearest whole number of the number of Class A ordinary shares to be issued to the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holder. Please see the section entitled “Description of Securities—Warrants—Public</w:t>
            </w:r>
          </w:p>
        </w:tc>
      </w:tr>
      <w:tr>
        <w:trPr>
          <w:trHeight w:val="234"/>
        </w:trPr>
        <w:tc>
          <w:tcPr>
            <w:tcW w:w="2740" w:type="dxa"/>
            <w:vAlign w:val="bottom"/>
          </w:tcPr>
          <w:p>
            <w:pPr>
              <w:spacing w:after="0"/>
              <w:rPr>
                <w:sz w:val="20"/>
                <w:szCs w:val="20"/>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Shareholders’ Warrants” for additional information.</w:t>
            </w:r>
          </w:p>
        </w:tc>
      </w:tr>
      <w:tr>
        <w:trPr>
          <w:trHeight w:val="441"/>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Founder shares</w:t>
            </w: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On March 19, 2021, our sponsor paid $25,000 to cover certain of our offering costs in</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consideration of 25,156,250 Class B ordinary shares, par value $0.0001. Prior to the initial</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investment in the company of $25,000 by the sponsor, the company had no assets, tangible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or intangible. If we increase or decrease the size of this offering, we will effect a share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capitalization or a share surrender or redemption or other appropriate mechanism, as</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applicable, with respect to our Class B ordinary shares immediately prior to the</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consummation of this offering in such amount as to maintain the ownership of our sponsor</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(and its permitted transferees), on an as-converted basis, at 20% of our issued and</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outstanding ordinary shares upon the consummation of this offering. Up to 3,281,250</w:t>
            </w:r>
          </w:p>
        </w:tc>
      </w:tr>
      <w:tr>
        <w:trPr>
          <w:trHeight w:val="216"/>
        </w:trPr>
        <w:tc>
          <w:tcPr>
            <w:tcW w:w="2740" w:type="dxa"/>
            <w:vAlign w:val="bottom"/>
          </w:tcPr>
          <w:p>
            <w:pPr>
              <w:spacing w:after="0"/>
              <w:rPr>
                <w:sz w:val="18"/>
                <w:szCs w:val="18"/>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founder shares are subject to forfeiture by our sponsor, depending on the extent to which</w:t>
            </w:r>
          </w:p>
        </w:tc>
      </w:tr>
      <w:tr>
        <w:trPr>
          <w:trHeight w:val="234"/>
        </w:trPr>
        <w:tc>
          <w:tcPr>
            <w:tcW w:w="2740" w:type="dxa"/>
            <w:vAlign w:val="bottom"/>
          </w:tcPr>
          <w:p>
            <w:pPr>
              <w:spacing w:after="0"/>
              <w:rPr>
                <w:sz w:val="20"/>
                <w:szCs w:val="20"/>
                <w:color w:val="auto"/>
              </w:rPr>
            </w:pPr>
          </w:p>
        </w:tc>
        <w:tc>
          <w:tcPr>
            <w:tcW w:w="82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the underwriters’ over-allotment option is exercised.</w:t>
            </w:r>
          </w:p>
        </w:tc>
      </w:tr>
      <w:tr>
        <w:trPr>
          <w:trHeight w:val="240"/>
        </w:trPr>
        <w:tc>
          <w:tcPr>
            <w:tcW w:w="2740" w:type="dxa"/>
            <w:vAlign w:val="bottom"/>
            <w:tcBorders>
              <w:bottom w:val="single" w:sz="8" w:color="auto"/>
            </w:tcBorders>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p>
        </w:tc>
      </w:tr>
      <w:tr>
        <w:trPr>
          <w:trHeight w:val="361"/>
        </w:trPr>
        <w:tc>
          <w:tcPr>
            <w:tcW w:w="2740" w:type="dxa"/>
            <w:vAlign w:val="bottom"/>
          </w:tcPr>
          <w:p>
            <w:pPr>
              <w:spacing w:after="0"/>
              <w:rPr>
                <w:sz w:val="24"/>
                <w:szCs w:val="24"/>
                <w:color w:val="auto"/>
              </w:rPr>
            </w:pPr>
          </w:p>
        </w:tc>
        <w:tc>
          <w:tcPr>
            <w:tcW w:w="828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47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120"/>
        <w:spacing w:after="0" w:line="282" w:lineRule="auto"/>
        <w:rPr>
          <w:sz w:val="20"/>
          <w:szCs w:val="20"/>
          <w:color w:val="auto"/>
        </w:rPr>
      </w:pPr>
      <w:r>
        <w:rPr>
          <w:rFonts w:ascii="Times New Roman" w:cs="Times New Roman" w:eastAsia="Times New Roman" w:hAnsi="Times New Roman"/>
          <w:sz w:val="18"/>
          <w:szCs w:val="18"/>
          <w:color w:val="auto"/>
        </w:rPr>
        <w:t>The founder shares are identical to the Class A ordinary shares included in the units being sold in this offering, except that:</w:t>
      </w:r>
    </w:p>
    <w:p>
      <w:pPr>
        <w:spacing w:after="0" w:line="67" w:lineRule="exact"/>
        <w:rPr>
          <w:sz w:val="20"/>
          <w:szCs w:val="20"/>
          <w:color w:val="auto"/>
        </w:rPr>
      </w:pPr>
    </w:p>
    <w:p>
      <w:pPr>
        <w:ind w:left="4520" w:hanging="153"/>
        <w:spacing w:after="0" w:line="266" w:lineRule="auto"/>
        <w:tabs>
          <w:tab w:leader="none" w:pos="4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the founder shares have the right to vote on the election of directors prior to our initial business combination and holders of a majority of our founder shares may remove a member of the board of directors for any reason;</w:t>
      </w:r>
    </w:p>
    <w:p>
      <w:pPr>
        <w:spacing w:after="0" w:line="81" w:lineRule="exact"/>
        <w:rPr>
          <w:rFonts w:ascii="Times New Roman" w:cs="Times New Roman" w:eastAsia="Times New Roman" w:hAnsi="Times New Roman"/>
          <w:sz w:val="18"/>
          <w:szCs w:val="18"/>
          <w:color w:val="auto"/>
        </w:rPr>
      </w:pPr>
    </w:p>
    <w:p>
      <w:pPr>
        <w:ind w:left="4520" w:right="80" w:hanging="153"/>
        <w:spacing w:after="0" w:line="282" w:lineRule="auto"/>
        <w:tabs>
          <w:tab w:leader="none" w:pos="4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are subject to certain transfer restrictions, as described in more detail below;</w:t>
      </w:r>
    </w:p>
    <w:p>
      <w:pPr>
        <w:spacing w:after="0" w:line="67" w:lineRule="exact"/>
        <w:rPr>
          <w:rFonts w:ascii="Times New Roman" w:cs="Times New Roman" w:eastAsia="Times New Roman" w:hAnsi="Times New Roman"/>
          <w:sz w:val="18"/>
          <w:szCs w:val="18"/>
          <w:color w:val="auto"/>
        </w:rPr>
      </w:pPr>
    </w:p>
    <w:p>
      <w:pPr>
        <w:ind w:left="4520" w:hanging="153"/>
        <w:spacing w:after="0" w:line="267" w:lineRule="auto"/>
        <w:tabs>
          <w:tab w:leader="none" w:pos="45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sponsor, directors and of our executive officers have entered into an agreement with us, pursuant to which they have agreed to (i) waive their redemption rights with respect to their founder shares, (ii) waive their redemption rights with respect to their founder shares and public shares in connection with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w:t>
      </w:r>
    </w:p>
    <w:p>
      <w:pPr>
        <w:spacing w:after="0" w:line="5" w:lineRule="exact"/>
        <w:rPr>
          <w:rFonts w:ascii="Times New Roman" w:cs="Times New Roman" w:eastAsia="Times New Roman" w:hAnsi="Times New Roman"/>
          <w:sz w:val="17"/>
          <w:szCs w:val="17"/>
          <w:color w:val="auto"/>
        </w:rPr>
      </w:pPr>
    </w:p>
    <w:p>
      <w:pPr>
        <w:ind w:left="4520" w:right="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with respect to any other provision relating to the rights of holders of our Class A ordinary shares and (iii) waive their rights to liquidating distributions from the trust account with respect to their founder shares if we fail to consummate an initial business combination within 24 months from the closing of this offering (although they will be entitled to liquidating distributions from the trust account with respect to any public shares they hold if we fail to complete our initial business combination within the prescribed time frame). If we submit our initial business combination to our public shareholders for a vote, our sponsor, and each of our directors and executive officers have agreed to vote his or her founder shares and any public shares purchased during or after this offering in favor of our initial business combination. As a result, in addition to our initial shareholders’ founder shares, we would need 32,812,501 or 37.5% (assuming all outstanding shares are voted and the over-allotment option is not exercised), or 5,468,751 or 6.25% (assuming only the minimum number of shares representing a quorum are voted and the over-allotment option is not exercised), of the 87,500,000 public shares sold in this offering to be voted in favor of an initial business combination to have our initial business combination approved;</w:t>
      </w:r>
    </w:p>
    <w:p>
      <w:pPr>
        <w:spacing w:after="0" w:line="95" w:lineRule="exact"/>
        <w:rPr>
          <w:rFonts w:ascii="Times New Roman" w:cs="Times New Roman" w:eastAsia="Times New Roman" w:hAnsi="Times New Roman"/>
          <w:sz w:val="17"/>
          <w:szCs w:val="17"/>
          <w:color w:val="auto"/>
        </w:rPr>
      </w:pPr>
    </w:p>
    <w:p>
      <w:pPr>
        <w:ind w:left="4520" w:right="240" w:hanging="153"/>
        <w:spacing w:after="0" w:line="261" w:lineRule="auto"/>
        <w:tabs>
          <w:tab w:leader="none" w:pos="4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will automatically convert into our Class A ordinary shares at the time of our initial business combination as described below adjacent to the caption “Founder shares conversion and anti-dilution rights” and in our amended and restated memorandum and articles of association; and</w:t>
      </w:r>
    </w:p>
    <w:p>
      <w:pPr>
        <w:spacing w:after="0" w:line="85" w:lineRule="exact"/>
        <w:rPr>
          <w:rFonts w:ascii="Times New Roman" w:cs="Times New Roman" w:eastAsia="Times New Roman" w:hAnsi="Times New Roman"/>
          <w:sz w:val="18"/>
          <w:szCs w:val="18"/>
          <w:color w:val="auto"/>
        </w:rPr>
      </w:pPr>
    </w:p>
    <w:p>
      <w:pPr>
        <w:ind w:left="4520" w:hanging="153"/>
        <w:spacing w:after="0"/>
        <w:tabs>
          <w:tab w:leader="none" w:pos="4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are entitled to registration rights.</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320" w:top="455" w:right="6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40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 restrictions on founder shares</w:t>
            </w:r>
          </w:p>
        </w:tc>
        <w:tc>
          <w:tcPr>
            <w:tcW w:w="702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Except as described herein, our sponsor, directors and executive officers have agreed not to</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transfer, assign or sell any of their founder shares until the earliest of (A) one year after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completion of our initial business combination or (B) subsequent to our initial business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combination, (x) if the closing price of our Class A ordinary shares equals or exceeds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$12.00 per share (as adjusted for share subdivisions, share capitalizations, reorganizations,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recapitalizations and the like) for any 20 trading days within any 30-trading day period</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commencing at least 150 days after our initial business combination, or (y) the date on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which we complete a liquidation, merger, share exchange or other similar transaction that</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results in all of our shareholders having the right to exchange their ordinary shares for cash,</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securities or other property.</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Founder shares conversion and anti-dilution rights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founder shares are designated as Class B ordinary shares and will automatically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convert into Class A ordinary shares on the first business day following the consummation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of our initial business combination at a ratio such that the number of Class A ordinary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shares issuable upon conversion of all founder shares will equal, in the aggregate, on an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as-converted basis, 20% of the sum of (i) the total number of ordinary shares issued and</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outstanding upon completion of this offering, plus (ii) the total number of Class A ordinary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shares issued or deemed issued or issuable upon conversion or exercise of any equity-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linked securities (as defined herein) or rights issued or deemed issued, by the company in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connection with or in relation to the consummation of the initial business combination,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excluding any Class A ordinary shares or equity-linked securities exercisable for or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convertible into Class A ordinary shares issued, or to be issued, to any seller in the initial</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business combination and any private placement warrants issued to our sponsor upon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conversion of working capital loans. Any conversion of Class B ordinary shares described</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herein will take effect as a compulsory redemption of Class B ordinary shares and an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issuance of Class A ordinary shares as a matter of Cayman Islands law. In no event will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Class B ordinary shares convert into Class A ordinary shares at a rate of less than</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one-to-one.</w:t>
            </w:r>
          </w:p>
        </w:tc>
      </w:tr>
      <w:tr>
        <w:trPr>
          <w:trHeight w:val="441"/>
        </w:trPr>
        <w:tc>
          <w:tcPr>
            <w:tcW w:w="4000" w:type="dxa"/>
            <w:vAlign w:val="bottom"/>
            <w:tcBorders>
              <w:left w:val="single" w:sz="8" w:color="auto"/>
            </w:tcBorders>
          </w:tcPr>
          <w:p>
            <w:pPr>
              <w:spacing w:after="0"/>
              <w:rPr>
                <w:sz w:val="24"/>
                <w:szCs w:val="24"/>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term “equity-linked securities” refers to any debt or equity securities that are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convertible, exercisable or exchangeable for our Class A ordinary shares issued in a</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financing transaction in connection with our initial business combination, including but not</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limited to a private placement of equity or debt.</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Election of directors; voting rights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Prior to our initial business combination, only holders of our founder shares will have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right to vote on the election of directors. Holders of our public shares will not be entitled to</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vote on the election of directors during such time. In addition, prior to the completion of an</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initial business combination, holders of a majority of our founder</w:t>
            </w:r>
          </w:p>
        </w:tc>
      </w:tr>
      <w:tr>
        <w:trPr>
          <w:trHeight w:val="240"/>
        </w:trPr>
        <w:tc>
          <w:tcPr>
            <w:tcW w:w="4000" w:type="dxa"/>
            <w:vAlign w:val="bottom"/>
            <w:tcBorders>
              <w:left w:val="single" w:sz="8" w:color="auto"/>
              <w:bottom w:val="single" w:sz="8" w:color="auto"/>
            </w:tcBorders>
          </w:tcPr>
          <w:p>
            <w:pPr>
              <w:spacing w:after="0"/>
              <w:rPr>
                <w:sz w:val="20"/>
                <w:szCs w:val="20"/>
                <w:color w:val="auto"/>
              </w:rPr>
            </w:pPr>
          </w:p>
        </w:tc>
        <w:tc>
          <w:tcPr>
            <w:tcW w:w="7020" w:type="dxa"/>
            <w:vAlign w:val="bottom"/>
            <w:tcBorders>
              <w:bottom w:val="single" w:sz="8" w:color="auto"/>
              <w:right w:val="single" w:sz="8" w:color="auto"/>
            </w:tcBorders>
          </w:tcPr>
          <w:p>
            <w:pPr>
              <w:spacing w:after="0"/>
              <w:rPr>
                <w:sz w:val="20"/>
                <w:szCs w:val="20"/>
                <w:color w:val="auto"/>
              </w:rPr>
            </w:pPr>
          </w:p>
        </w:tc>
      </w:tr>
      <w:tr>
        <w:trPr>
          <w:trHeight w:val="361"/>
        </w:trPr>
        <w:tc>
          <w:tcPr>
            <w:tcW w:w="4000" w:type="dxa"/>
            <w:vAlign w:val="bottom"/>
          </w:tcPr>
          <w:p>
            <w:pPr>
              <w:spacing w:after="0"/>
              <w:rPr>
                <w:sz w:val="24"/>
                <w:szCs w:val="24"/>
                <w:color w:val="auto"/>
              </w:rPr>
            </w:pPr>
          </w:p>
        </w:tc>
        <w:tc>
          <w:tcPr>
            <w:tcW w:w="70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4040" w:type="dxa"/>
            <w:vAlign w:val="bottom"/>
            <w:tcBorders>
              <w:top w:val="single" w:sz="8" w:color="auto"/>
              <w:left w:val="single" w:sz="8" w:color="auto"/>
            </w:tcBorders>
          </w:tcPr>
          <w:p>
            <w:pPr>
              <w:spacing w:after="0"/>
              <w:rPr>
                <w:sz w:val="24"/>
                <w:szCs w:val="24"/>
                <w:color w:val="auto"/>
              </w:rPr>
            </w:pPr>
          </w:p>
        </w:tc>
        <w:tc>
          <w:tcPr>
            <w:tcW w:w="698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may remove a member of the board of directors for any reason. These provisions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our amended and restated memorandum and articles of association may only be amended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by a special resolution passed by not less than two-thirds of our ordinary shares who attend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and vote at our shareholder meeting which shall include the affirmative vote of a simple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majority of our Class B ordinary shares. With respect to any other matter submitted to a</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vote of our shareholders, including any vote in connection with our initial business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combination, except as required by law, holders of our founder shares and holders of our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public shares will vote together as a single class, with each share entitling the holder to one</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vote.</w:t>
            </w:r>
          </w:p>
        </w:tc>
      </w:tr>
      <w:tr>
        <w:trPr>
          <w:trHeight w:val="454"/>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Our sponsor has committed, pursuant to a written agreement, to purchase an aggregate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15,000,000 private placement warrants (or 16,750,000 private placement warrants if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underwriters’ over-allotment option is exercised in full), each exercisable to purchase one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Class A ordinary share at $11.50 per share, at a price of $1.50 per warrant ($22,500,000 in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aggregate or $25,125,000 if the underwriters’ over-allotment option is exercised in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full), in a private placement that will close simultaneously with the closing of this offering.</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If we do not consummate an initial business combination within 24 months from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closing of this offering, the private placement warrants will expire worthless. The private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placement warrants will be non-redeemable (except as set forth under the caption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“Description of Securities—Warrants—Public Shareholders’ Warrants—Redemption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warrants when the price per Class A ordinary share equals or exceeds $10.00) and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exercisable on a cashless basis so long as they are held by our sponsor or its permitted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transferees (see “Description of Securities—Warrants—Private Placement Warrants”). If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private placement warrants are held by holders other than our sponsor or its permitted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transferees, the private placement warrants will be redeemable by us in all redemption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scenarios and exercisable by the holders on the same basis as the warrants included in the</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units being sold in this offering.</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 restrictions on private placement warrants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private placement warrants (including the Class A ordinary shares issuable upon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exercise of the private placement warrants) will not be transferable, assignable or salable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until 30 days after the completion of our initial business combination, except as described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herein under “Principal Shareholders—Transfers of Founder Shares and Private Placement</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Warrants.”</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Cashless exercise of private placement warrants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If holders of private placement warrants elect to exercise them on a cashless basis, except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 described under “Redemption of warrants when the price per Class A ordinary share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equals or exceeds $10.00,” they would pay the exercise price by surrendering their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warrants for that number of Class A ordinary shares equal to the quotient obtained by</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dividing (x) the product of the number of Class A ordinary shares</w:t>
            </w:r>
          </w:p>
        </w:tc>
      </w:tr>
      <w:tr>
        <w:trPr>
          <w:trHeight w:val="240"/>
        </w:trPr>
        <w:tc>
          <w:tcPr>
            <w:tcW w:w="4040" w:type="dxa"/>
            <w:vAlign w:val="bottom"/>
            <w:tcBorders>
              <w:left w:val="single" w:sz="8" w:color="auto"/>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r>
      <w:tr>
        <w:trPr>
          <w:trHeight w:val="361"/>
        </w:trPr>
        <w:tc>
          <w:tcPr>
            <w:tcW w:w="4040" w:type="dxa"/>
            <w:vAlign w:val="bottom"/>
          </w:tcPr>
          <w:p>
            <w:pPr>
              <w:spacing w:after="0"/>
              <w:rPr>
                <w:sz w:val="24"/>
                <w:szCs w:val="24"/>
                <w:color w:val="auto"/>
              </w:rPr>
            </w:pPr>
          </w:p>
        </w:tc>
        <w:tc>
          <w:tcPr>
            <w:tcW w:w="69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480" w:type="dxa"/>
            <w:vAlign w:val="bottom"/>
            <w:tcBorders>
              <w:top w:val="single" w:sz="8" w:color="auto"/>
              <w:left w:val="single" w:sz="8" w:color="auto"/>
            </w:tcBorders>
          </w:tcPr>
          <w:p>
            <w:pPr>
              <w:spacing w:after="0"/>
              <w:rPr>
                <w:sz w:val="24"/>
                <w:szCs w:val="24"/>
                <w:color w:val="auto"/>
              </w:rPr>
            </w:pPr>
          </w:p>
        </w:tc>
        <w:tc>
          <w:tcPr>
            <w:tcW w:w="754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underlying the warrants, multiplied by the excess of the “Sponsor fair market value”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(defined below) over the exercise price of the warrants by (y) our sponsor fair market</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value. The “Sponsor fair market value” shall mean the average reported closing price of the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Class A ordinary shares for the 10 trading days ending on the third trading day prior to the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date on which the notice of warrant exercise is sent to the warrant agent. The reason that</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we have agreed that these warrants will be exercisable on a cashless basis so long as they</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are held by our sponsor or its permitted transferees is because it is not known at this time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whether they will be affiliated with us following a business combination. If they remain</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affiliated with us, their ability to sell our securities in the open market will be significantly</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limited. We expect to have policies in place that restrict insiders from selling our securities</w:t>
            </w:r>
          </w:p>
        </w:tc>
      </w:tr>
      <w:tr>
        <w:trPr>
          <w:trHeight w:val="234"/>
        </w:trPr>
        <w:tc>
          <w:tcPr>
            <w:tcW w:w="348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except during specific periods.</w:t>
            </w:r>
          </w:p>
        </w:tc>
      </w:tr>
      <w:tr>
        <w:trPr>
          <w:trHeight w:val="454"/>
        </w:trPr>
        <w:tc>
          <w:tcPr>
            <w:tcW w:w="3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Proceeds to be held in trust account</w:t>
            </w: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Of the proceeds we will receive from this offering and the sale of the private placement</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warrants described in this prospectus, $875,000,000, or $1,006,250,000 if the underwriters’</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over-allotment option is exercised in full ($10.00 per unit in either case), will be deposited</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into a segregated trust account located in the United States at J.P. Morgan Chase Bank,</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N.A. with Continental Stock Transfer &amp; Trust Company acting as trustee, after deducting</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$17,500,000 (or $20,125,000 if the underwriters’ over-allotment option is exercised in full)</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in underwriting discounts and commissions payable upon the closing of this offering and</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an aggregate of $3,000,000 to pay fees and expenses in connection with the closing of this</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offering and for working capital following the closing of this offering. The proceeds to be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placed in the trust account include $30,625,000 (or $35,218,750 if the underwriters’ over-</w:t>
            </w:r>
          </w:p>
        </w:tc>
      </w:tr>
      <w:tr>
        <w:trPr>
          <w:trHeight w:val="234"/>
        </w:trPr>
        <w:tc>
          <w:tcPr>
            <w:tcW w:w="348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allotment option is exercised in full) in deferred underwriting commissions.</w:t>
            </w:r>
          </w:p>
        </w:tc>
      </w:tr>
      <w:tr>
        <w:trPr>
          <w:trHeight w:val="441"/>
        </w:trPr>
        <w:tc>
          <w:tcPr>
            <w:tcW w:w="3480" w:type="dxa"/>
            <w:vAlign w:val="bottom"/>
            <w:tcBorders>
              <w:left w:val="single" w:sz="8" w:color="auto"/>
            </w:tcBorders>
          </w:tcPr>
          <w:p>
            <w:pPr>
              <w:spacing w:after="0"/>
              <w:rPr>
                <w:sz w:val="24"/>
                <w:szCs w:val="24"/>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Except with respect to interest earned on the funds held in the trust account that may be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released to us to pay our income taxes, if any, (less up to $100,000 of interest to pay</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dissolution expenses) our amended and restated memorandum and articles of association,</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as discussed below and subject to the requirements of law and regulation, will provide that</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the proceeds from this offering and the sale of the private placement warrants held in the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trust account will not be released from the trust account (1) to us, until the completion of</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our initial business combination, or (2) to our public shareholders, until the earliest of</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 the completion of our initial business combination, and then only in connection with</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those Class A ordinary shares that such shareholders properly elected to redeem, subject to</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the limitations described herein, (b) the redemption of any public shares properly tendered</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in connection with a shareholder vote to amend our amended and restated memorandum</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and articles of association (i) to modify the substance or timing of our obligation to provide</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holders of our Class A ordinary shares the right to have their shares redeemed in</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connection with our initial business combination or to redeem 100% of our public shares if</w:t>
            </w:r>
          </w:p>
        </w:tc>
      </w:tr>
      <w:tr>
        <w:trPr>
          <w:trHeight w:val="216"/>
        </w:trPr>
        <w:tc>
          <w:tcPr>
            <w:tcW w:w="3480" w:type="dxa"/>
            <w:vAlign w:val="bottom"/>
            <w:tcBorders>
              <w:left w:val="single" w:sz="8" w:color="auto"/>
            </w:tcBorders>
          </w:tcPr>
          <w:p>
            <w:pPr>
              <w:spacing w:after="0"/>
              <w:rPr>
                <w:sz w:val="18"/>
                <w:szCs w:val="18"/>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we do not consummate an initial business combination within 24 months from the closing</w:t>
            </w:r>
          </w:p>
        </w:tc>
      </w:tr>
      <w:tr>
        <w:trPr>
          <w:trHeight w:val="234"/>
        </w:trPr>
        <w:tc>
          <w:tcPr>
            <w:tcW w:w="3480" w:type="dxa"/>
            <w:vAlign w:val="bottom"/>
            <w:tcBorders>
              <w:left w:val="single" w:sz="8" w:color="auto"/>
            </w:tcBorders>
          </w:tcPr>
          <w:p>
            <w:pPr>
              <w:spacing w:after="0"/>
              <w:rPr>
                <w:sz w:val="20"/>
                <w:szCs w:val="20"/>
                <w:color w:val="auto"/>
              </w:rPr>
            </w:pPr>
          </w:p>
        </w:tc>
        <w:tc>
          <w:tcPr>
            <w:tcW w:w="75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of this</w:t>
            </w:r>
          </w:p>
        </w:tc>
      </w:tr>
      <w:tr>
        <w:trPr>
          <w:trHeight w:val="240"/>
        </w:trPr>
        <w:tc>
          <w:tcPr>
            <w:tcW w:w="3480" w:type="dxa"/>
            <w:vAlign w:val="bottom"/>
            <w:tcBorders>
              <w:left w:val="single" w:sz="8" w:color="auto"/>
              <w:bottom w:val="single" w:sz="8" w:color="auto"/>
            </w:tcBorders>
          </w:tcPr>
          <w:p>
            <w:pPr>
              <w:spacing w:after="0"/>
              <w:rPr>
                <w:sz w:val="20"/>
                <w:szCs w:val="20"/>
                <w:color w:val="auto"/>
              </w:rPr>
            </w:pPr>
          </w:p>
        </w:tc>
        <w:tc>
          <w:tcPr>
            <w:tcW w:w="7540" w:type="dxa"/>
            <w:vAlign w:val="bottom"/>
            <w:tcBorders>
              <w:bottom w:val="single" w:sz="8" w:color="auto"/>
              <w:right w:val="single" w:sz="8" w:color="auto"/>
            </w:tcBorders>
          </w:tcPr>
          <w:p>
            <w:pPr>
              <w:spacing w:after="0"/>
              <w:rPr>
                <w:sz w:val="20"/>
                <w:szCs w:val="20"/>
                <w:color w:val="auto"/>
              </w:rPr>
            </w:pPr>
          </w:p>
        </w:tc>
      </w:tr>
      <w:tr>
        <w:trPr>
          <w:trHeight w:val="361"/>
        </w:trPr>
        <w:tc>
          <w:tcPr>
            <w:tcW w:w="3480" w:type="dxa"/>
            <w:vAlign w:val="bottom"/>
          </w:tcPr>
          <w:p>
            <w:pPr>
              <w:spacing w:after="0"/>
              <w:rPr>
                <w:sz w:val="24"/>
                <w:szCs w:val="24"/>
                <w:color w:val="auto"/>
              </w:rPr>
            </w:pPr>
          </w:p>
        </w:tc>
        <w:tc>
          <w:tcPr>
            <w:tcW w:w="75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959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offering or (ii) with respect to any other provisions relating to the rights of holders of our</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Class A ordinary shares, and (c) the redemption of our public shares if we have not</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completed our business combination within 24 months from the closing of this offering,</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subject to applicable law. Public shareholders who elect to have their Class A ordinary</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shares redeemed in connection with a shareholder vote described in clause (b) in the</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preceding sentence shall not be entitled to funds from the trust account upon the</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subsequent completion of an initial business combination or liquidation if we have not</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completed an initial business combination within 24 months from the closing of this</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offering, with respect to such Class A ordinary shares so redeemed. The proceeds deposited</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in the trust account could become subject to the claims of our creditors, if any, which could</w:t>
            </w:r>
          </w:p>
        </w:tc>
      </w:tr>
      <w:tr>
        <w:trPr>
          <w:trHeight w:val="234"/>
        </w:trPr>
        <w:tc>
          <w:tcPr>
            <w:tcW w:w="3640" w:type="dxa"/>
            <w:vAlign w:val="bottom"/>
          </w:tcPr>
          <w:p>
            <w:pPr>
              <w:spacing w:after="0"/>
              <w:rPr>
                <w:sz w:val="20"/>
                <w:szCs w:val="20"/>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have priority over the claims of our public shareholders.</w:t>
            </w:r>
          </w:p>
        </w:tc>
      </w:tr>
      <w:tr>
        <w:trPr>
          <w:trHeight w:val="45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Anticipated expenses and funding sources</w:t>
            </w: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Except as described above with respect to the payment of taxes, unless and until we</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complete our initial business combination, no proceeds held in the trust account will be</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available for our use. The proceeds held in the trust account will be invested only in U.S.</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government treasury obligations with a maturity of 185 days or less or in money market</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funds meeting certain conditions under Rule 2a-7 under the Investment Company Act</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which invest only in direct U.S. government treasury obligations. Assuming an interest rate</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of 0.1 % per year, we estimate the interest earned on the trust account will be</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approximately $875,000 per year; however, we can provide no assurances regarding this</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amount. Unless and until we complete our initial business combination, we may pay our</w:t>
            </w:r>
          </w:p>
        </w:tc>
      </w:tr>
      <w:tr>
        <w:trPr>
          <w:trHeight w:val="234"/>
        </w:trPr>
        <w:tc>
          <w:tcPr>
            <w:tcW w:w="3640" w:type="dxa"/>
            <w:vAlign w:val="bottom"/>
          </w:tcPr>
          <w:p>
            <w:pPr>
              <w:spacing w:after="0"/>
              <w:rPr>
                <w:sz w:val="20"/>
                <w:szCs w:val="20"/>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expenses only from:</w:t>
            </w:r>
          </w:p>
        </w:tc>
      </w:tr>
      <w:tr>
        <w:trPr>
          <w:trHeight w:val="319"/>
        </w:trPr>
        <w:tc>
          <w:tcPr>
            <w:tcW w:w="3640" w:type="dxa"/>
            <w:vAlign w:val="bottom"/>
          </w:tcPr>
          <w:p>
            <w:pPr>
              <w:spacing w:after="0"/>
              <w:rPr>
                <w:sz w:val="24"/>
                <w:szCs w:val="24"/>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net proceeds of this offering and the sale of the private placement warrants not held</w:t>
            </w:r>
          </w:p>
        </w:tc>
      </w:tr>
      <w:tr>
        <w:trPr>
          <w:trHeight w:val="216"/>
        </w:trPr>
        <w:tc>
          <w:tcPr>
            <w:tcW w:w="3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the trust account, which will be approximately $2,000,000 in working capital after the</w:t>
            </w:r>
          </w:p>
        </w:tc>
      </w:tr>
      <w:tr>
        <w:trPr>
          <w:trHeight w:val="234"/>
        </w:trPr>
        <w:tc>
          <w:tcPr>
            <w:tcW w:w="3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approximately $3,000,000 in expenses relating to this offering; and</w:t>
            </w:r>
          </w:p>
        </w:tc>
      </w:tr>
      <w:tr>
        <w:trPr>
          <w:trHeight w:val="319"/>
        </w:trPr>
        <w:tc>
          <w:tcPr>
            <w:tcW w:w="3640" w:type="dxa"/>
            <w:vAlign w:val="bottom"/>
          </w:tcPr>
          <w:p>
            <w:pPr>
              <w:spacing w:after="0"/>
              <w:rPr>
                <w:sz w:val="24"/>
                <w:szCs w:val="24"/>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loans or additional investments from our sponsor or an affiliate of our sponsor or</w:t>
            </w:r>
          </w:p>
        </w:tc>
      </w:tr>
      <w:tr>
        <w:trPr>
          <w:trHeight w:val="216"/>
        </w:trPr>
        <w:tc>
          <w:tcPr>
            <w:tcW w:w="3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of our officers and directors, although they are under no obligation to advance</w:t>
            </w:r>
          </w:p>
        </w:tc>
      </w:tr>
      <w:tr>
        <w:trPr>
          <w:trHeight w:val="216"/>
        </w:trPr>
        <w:tc>
          <w:tcPr>
            <w:tcW w:w="3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funds or invest in us, and provided any such loans will not have any claim on the</w:t>
            </w:r>
          </w:p>
        </w:tc>
      </w:tr>
      <w:tr>
        <w:trPr>
          <w:trHeight w:val="216"/>
        </w:trPr>
        <w:tc>
          <w:tcPr>
            <w:tcW w:w="3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held in the trust account unless such proceeds are released to us upon</w:t>
            </w:r>
          </w:p>
        </w:tc>
      </w:tr>
      <w:tr>
        <w:trPr>
          <w:trHeight w:val="234"/>
        </w:trPr>
        <w:tc>
          <w:tcPr>
            <w:tcW w:w="3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completion of our initial business combination.</w:t>
            </w:r>
          </w:p>
        </w:tc>
      </w:tr>
      <w:tr>
        <w:trPr>
          <w:trHeight w:val="441"/>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Conditions to completing our initial business</w:t>
            </w: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NYSE rules currently require that, our initial business combination must occur with one or</w:t>
            </w:r>
          </w:p>
        </w:tc>
      </w:tr>
      <w:tr>
        <w:trPr>
          <w:trHeight w:val="216"/>
        </w:trPr>
        <w:tc>
          <w:tcPr>
            <w:tcW w:w="3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combination</w:t>
            </w: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more target businesses that together have an aggregate fair market value of at least 80% of</w:t>
            </w:r>
          </w:p>
        </w:tc>
      </w:tr>
      <w:tr>
        <w:trPr>
          <w:trHeight w:val="216"/>
        </w:trPr>
        <w:tc>
          <w:tcPr>
            <w:tcW w:w="3640" w:type="dxa"/>
            <w:vAlign w:val="bottom"/>
          </w:tcPr>
          <w:p>
            <w:pPr>
              <w:spacing w:after="0"/>
              <w:rPr>
                <w:sz w:val="18"/>
                <w:szCs w:val="18"/>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our assets held in the trust account (excluding the amount of deferred underwriting</w:t>
            </w:r>
          </w:p>
        </w:tc>
      </w:tr>
      <w:tr>
        <w:trPr>
          <w:trHeight w:val="234"/>
        </w:trPr>
        <w:tc>
          <w:tcPr>
            <w:tcW w:w="3640" w:type="dxa"/>
            <w:vAlign w:val="bottom"/>
          </w:tcPr>
          <w:p>
            <w:pPr>
              <w:spacing w:after="0"/>
              <w:rPr>
                <w:sz w:val="20"/>
                <w:szCs w:val="20"/>
                <w:color w:val="auto"/>
              </w:rPr>
            </w:pPr>
          </w:p>
        </w:tc>
        <w:tc>
          <w:tcPr>
            <w:tcW w:w="6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discounts held in trust and taxes payable on the income earned on the trust account) at the</w:t>
            </w:r>
          </w:p>
        </w:tc>
      </w:tr>
    </w:tbl>
    <w:p>
      <w:pPr>
        <w:ind w:left="4340" w:right="500"/>
        <w:spacing w:after="0" w:line="255" w:lineRule="auto"/>
        <w:rPr>
          <w:sz w:val="20"/>
          <w:szCs w:val="20"/>
          <w:color w:val="auto"/>
        </w:rPr>
      </w:pPr>
      <w:r>
        <w:rPr>
          <w:rFonts w:ascii="Times New Roman" w:cs="Times New Roman" w:eastAsia="Times New Roman" w:hAnsi="Times New Roman"/>
          <w:sz w:val="18"/>
          <w:szCs w:val="18"/>
          <w:color w:val="auto"/>
        </w:rPr>
        <w:t>time of our signing a definitive agreement in connection with our initial business combination. If our board of directors is not able to independently determine the fair market value</w:t>
      </w: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320" w:top="455" w:right="6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5416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ectPr>
          <w:pgSz w:w="11900" w:h="16838" w:orient="portrait"/>
          <w:cols w:equalWidth="0" w:num="1">
            <w:col w:w="10920"/>
          </w:cols>
          <w:pgMar w:left="320" w:top="45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of the target business or businesses, we will obtain an opinion from an independent investment banking firm or an independent accounting firm. Our shareholders may not be provided with a copy of such opinion nor will they be able to rely on such opinion.</w:t>
      </w:r>
    </w:p>
    <w:p>
      <w:pPr>
        <w:spacing w:after="0" w:line="2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We will complete our initial business combination only if the post-business combination company in which our public shareholders own shares will own or acquire 50% or more of the outstanding voting securities of the target or is otherwise not required to register as an investment company under the Investment Company Act. Even if the post-business combination company owns or acquires 50% or more of the voting securities of the target, our shareholders prior to our initial business combination may collectively own a minority interest in the post-business combination company, depending on valuations ascribed to the target and us in the business combination transaction.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2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including without limitation, officers and affiliates of Ares or Ares funds, or investors in such Ares funds, may purchase public shares or warrants in privately negotiated transactions or in the open market either prior to or following the completion of our initial business combination. Additionally, at any time at or prior to our initial business combination, subject to applicable securities laws (including with respect to material nonpublic information), our sponsor, directors, executive officers, advisors or their affiliates, including without limitation, officers and affiliates of Ares or Ares funds, or investors in such Ares funds,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held in the trust account will be used to purchase public shares or warrants in such transactions. If they engage in such transactions, they will not make any such purchases when they are in possession of any material nonpublic information</w:t>
      </w:r>
    </w:p>
    <w:p>
      <w:pPr>
        <w:spacing w:after="0" w:line="200" w:lineRule="exact"/>
        <w:rPr>
          <w:sz w:val="20"/>
          <w:szCs w:val="20"/>
          <w:color w:val="auto"/>
        </w:rPr>
      </w:pPr>
    </w:p>
    <w:p>
      <w:pPr>
        <w:sectPr>
          <w:pgSz w:w="11900" w:h="16838" w:orient="portrait"/>
          <w:cols w:equalWidth="0" w:num="2">
            <w:col w:w="3740" w:space="600"/>
            <w:col w:w="6580"/>
          </w:cols>
          <w:pgMar w:left="320" w:top="455" w:right="659" w:bottom="1440" w:gutter="0" w:footer="0" w:header="0"/>
          <w:type w:val="continuous"/>
        </w:sectPr>
      </w:pPr>
    </w:p>
    <w:p>
      <w:pPr>
        <w:spacing w:after="0" w:line="1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0"/>
          </w:cols>
          <w:pgMar w:left="320" w:top="455" w:right="6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5416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left="300"/>
        <w:spacing w:after="0" w:line="312" w:lineRule="auto"/>
        <w:rPr>
          <w:sz w:val="20"/>
          <w:szCs w:val="20"/>
          <w:color w:val="auto"/>
        </w:rPr>
      </w:pPr>
      <w:r>
        <w:rPr>
          <w:rFonts w:ascii="Times New Roman" w:cs="Times New Roman" w:eastAsia="Times New Roman" w:hAnsi="Times New Roman"/>
          <w:sz w:val="17"/>
          <w:szCs w:val="17"/>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not disclosed to the seller or if such purchases are prohibited by Regulation M under the Securities Exchange Act of 1934, as amended, or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See “Proposed Business—Permitted Purchases of Our Securities” for a description of how our sponsor, directors, executive officers, advisors or any of their affiliates, including without limitation, officers and affiliates of Ares or Ares funds, or investors in such Ares funds, will select which shareholders to purchase securities from in any private transaction.</w:t>
      </w:r>
    </w:p>
    <w:p>
      <w:pPr>
        <w:spacing w:after="0" w:line="22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22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elect to have all or a portion of their Class A ordinary shares redeemed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approximately $10.00 per public share. The per share amount we will</w:t>
      </w:r>
    </w:p>
    <w:p>
      <w:pPr>
        <w:spacing w:after="0" w:line="200" w:lineRule="exact"/>
        <w:rPr>
          <w:sz w:val="20"/>
          <w:szCs w:val="20"/>
          <w:color w:val="auto"/>
        </w:rPr>
      </w:pPr>
    </w:p>
    <w:p>
      <w:pPr>
        <w:sectPr>
          <w:pgSz w:w="11900" w:h="16838" w:orient="portrait"/>
          <w:cols w:equalWidth="0" w:num="2">
            <w:col w:w="3740" w:space="600"/>
            <w:col w:w="6600"/>
          </w:cols>
          <w:pgMar w:left="320" w:top="455" w:right="639" w:bottom="1440" w:gutter="0" w:footer="0" w:header="0"/>
          <w:type w:val="continuous"/>
        </w:sectPr>
      </w:pPr>
    </w:p>
    <w:p>
      <w:pPr>
        <w:spacing w:after="0" w:line="1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320" w:top="455" w:right="6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460" w:type="dxa"/>
            <w:vAlign w:val="bottom"/>
            <w:tcBorders>
              <w:top w:val="single" w:sz="8" w:color="auto"/>
              <w:left w:val="single" w:sz="8" w:color="auto"/>
            </w:tcBorders>
          </w:tcPr>
          <w:p>
            <w:pPr>
              <w:spacing w:after="0"/>
              <w:rPr>
                <w:sz w:val="24"/>
                <w:szCs w:val="24"/>
                <w:color w:val="auto"/>
              </w:rPr>
            </w:pPr>
          </w:p>
        </w:tc>
        <w:tc>
          <w:tcPr>
            <w:tcW w:w="756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distribute to investors who properly elect to have their shares redeemed will not be reduced</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by the deferred underwriting commissions we will pay to the underwriters. The redemption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rights will include the requirement that a beneficial holder must identify itself before we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can validly redeem its shares. There will be no redemption rights upon the completion of</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our initial business combination with respect to our warrants. Our sponsor and each of our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directors and executive officers have entered into an agreement with us, pursuant to which</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they have agreed to waive their redemption rights with respect to any founder shares and</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any public shares in connection with the completion of our initial business combination.</w:t>
            </w:r>
          </w:p>
        </w:tc>
      </w:tr>
      <w:tr>
        <w:trPr>
          <w:trHeight w:val="454"/>
        </w:trPr>
        <w:tc>
          <w:tcPr>
            <w:tcW w:w="3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Limitations on redemptions</w:t>
            </w: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in no</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event will we redeem our public shares in an amount that would cause our net tangible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assets to be less than $5,000,001 (so that we are not subject to the SEC’s “penny stock”</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rules). However, a greater net tangible asset or cash requirement may be contained in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agreement relating to our initial business combination. For example, the proposed business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combination may require: (i) cash consideration to be paid to the target or its owners,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(ii) cash to be transferred to the target for working capital or other general corporate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purposes or (iii) the retention of cash to satisfy other conditions in accordance with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terms of the proposed business combination. Furthermore, although we will not redeem</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shares in an amount that would cause our net tangible assets to fall below $5,000,001, we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do not have a maximum redemption threshold based on the percentage of shares sold in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this offering, as many blank check companies do. In the event the aggregate cash</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consideration we would be required to pay for all Class A ordinary shares that are validly</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submitted for redemption plus any amount required to satisfy cash conditions pursuant to</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 terms of the proposed business combination exceed the aggregate amount of cash</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available to us, we will not complete the business combination or redeem any shares, and</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all Class A ordinary shares submitted for redemption will be returned to the holders</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thereof.</w:t>
            </w:r>
          </w:p>
        </w:tc>
      </w:tr>
      <w:tr>
        <w:trPr>
          <w:trHeight w:val="441"/>
        </w:trPr>
        <w:tc>
          <w:tcPr>
            <w:tcW w:w="3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Manner of conducting redemptions</w:t>
            </w: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We will provide our public shareholders with the opportunity to have all or a portion of</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their public shares redeemed upon the completion of our initial business combination either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 in connection with a shareholder meeting called to approve the business combination or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(ii) by means of a tender offer. The decision as to whether we will seek shareholder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approval of a proposed business combination or conduct a tender offer will be made by us,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solely in our discretion, and will be based on a variety of factors such as the timing of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transaction and whether the terms of the transaction would require us to seek shareholder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approval under applicable law or stock exchange listing requirement. Asset acquisitions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and share purchases would not typically require shareholder approval, while direct mergers</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with our company where we do not survive and any transactions where we</w:t>
            </w:r>
          </w:p>
        </w:tc>
      </w:tr>
      <w:tr>
        <w:trPr>
          <w:trHeight w:val="240"/>
        </w:trPr>
        <w:tc>
          <w:tcPr>
            <w:tcW w:w="3460" w:type="dxa"/>
            <w:vAlign w:val="bottom"/>
            <w:tcBorders>
              <w:left w:val="single" w:sz="8" w:color="auto"/>
              <w:bottom w:val="single" w:sz="8" w:color="auto"/>
            </w:tcBorders>
          </w:tcPr>
          <w:p>
            <w:pPr>
              <w:spacing w:after="0"/>
              <w:rPr>
                <w:sz w:val="20"/>
                <w:szCs w:val="20"/>
                <w:color w:val="auto"/>
              </w:rPr>
            </w:pPr>
          </w:p>
        </w:tc>
        <w:tc>
          <w:tcPr>
            <w:tcW w:w="7560" w:type="dxa"/>
            <w:vAlign w:val="bottom"/>
            <w:tcBorders>
              <w:bottom w:val="single" w:sz="8" w:color="auto"/>
              <w:right w:val="single" w:sz="8" w:color="auto"/>
            </w:tcBorders>
          </w:tcPr>
          <w:p>
            <w:pPr>
              <w:spacing w:after="0"/>
              <w:rPr>
                <w:sz w:val="20"/>
                <w:szCs w:val="20"/>
                <w:color w:val="auto"/>
              </w:rPr>
            </w:pPr>
          </w:p>
        </w:tc>
      </w:tr>
      <w:tr>
        <w:trPr>
          <w:trHeight w:val="361"/>
        </w:trPr>
        <w:tc>
          <w:tcPr>
            <w:tcW w:w="3460" w:type="dxa"/>
            <w:vAlign w:val="bottom"/>
          </w:tcPr>
          <w:p>
            <w:pPr>
              <w:spacing w:after="0"/>
              <w:rPr>
                <w:sz w:val="24"/>
                <w:szCs w:val="24"/>
                <w:color w:val="auto"/>
              </w:rPr>
            </w:pPr>
          </w:p>
        </w:tc>
        <w:tc>
          <w:tcPr>
            <w:tcW w:w="75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25</w:t>
            </w:r>
          </w:p>
        </w:tc>
      </w:tr>
    </w:tbl>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30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56" w:lineRule="auto"/>
        <w:rPr>
          <w:sz w:val="20"/>
          <w:szCs w:val="20"/>
          <w:color w:val="auto"/>
        </w:rPr>
      </w:pPr>
      <w:r>
        <w:rPr>
          <w:rFonts w:ascii="Times New Roman" w:cs="Times New Roman" w:eastAsia="Times New Roman" w:hAnsi="Times New Roman"/>
          <w:sz w:val="18"/>
          <w:szCs w:val="18"/>
          <w:color w:val="auto"/>
        </w:rPr>
        <w:t>issue more than 20% of our outstanding Class A ordinary shares or seek to amend our amended and restated memorandum and articles of association would require shareholder approval. We currently intend to conduct redemptions in connection with a shareholder vote unless shareholder approval is not required by applicable law or stock exchange listing requirement and we choose to conduct redemptions pursuant to the tender offer rules of the SEC for business or other legal reasons.</w:t>
      </w:r>
    </w:p>
    <w:p>
      <w:pPr>
        <w:spacing w:after="0" w:line="2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If we hold a shareholder vote to approve our initial business combination, we will:</w:t>
      </w:r>
    </w:p>
    <w:p>
      <w:pPr>
        <w:spacing w:after="0" w:line="131" w:lineRule="exact"/>
        <w:rPr>
          <w:sz w:val="20"/>
          <w:szCs w:val="20"/>
          <w:color w:val="auto"/>
        </w:rPr>
      </w:pPr>
    </w:p>
    <w:p>
      <w:pPr>
        <w:ind w:left="4520" w:right="20" w:hanging="153"/>
        <w:spacing w:after="0" w:line="266" w:lineRule="auto"/>
        <w:tabs>
          <w:tab w:leader="none" w:pos="4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81" w:lineRule="exact"/>
        <w:rPr>
          <w:rFonts w:ascii="Times New Roman" w:cs="Times New Roman" w:eastAsia="Times New Roman" w:hAnsi="Times New Roman"/>
          <w:sz w:val="18"/>
          <w:szCs w:val="18"/>
          <w:color w:val="auto"/>
        </w:rPr>
      </w:pPr>
    </w:p>
    <w:p>
      <w:pPr>
        <w:ind w:left="4520" w:hanging="153"/>
        <w:spacing w:after="0"/>
        <w:tabs>
          <w:tab w:leader="none" w:pos="4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proxy materials with the SEC.</w:t>
      </w:r>
    </w:p>
    <w:p>
      <w:pPr>
        <w:spacing w:after="0" w:line="252" w:lineRule="exact"/>
        <w:rPr>
          <w:sz w:val="20"/>
          <w:szCs w:val="20"/>
          <w:color w:val="auto"/>
        </w:rPr>
      </w:pPr>
    </w:p>
    <w:p>
      <w:pPr>
        <w:ind w:left="4340"/>
        <w:spacing w:after="0" w:line="252" w:lineRule="auto"/>
        <w:rPr>
          <w:sz w:val="20"/>
          <w:szCs w:val="20"/>
          <w:color w:val="auto"/>
        </w:rPr>
      </w:pPr>
      <w:r>
        <w:rPr>
          <w:rFonts w:ascii="Times New Roman" w:cs="Times New Roman" w:eastAsia="Times New Roman" w:hAnsi="Times New Roman"/>
          <w:sz w:val="18"/>
          <w:szCs w:val="18"/>
          <w:color w:val="auto"/>
        </w:rPr>
        <w:t>If we seek shareholder approval, we will complete our initial business combination only if we obtain the approval of an ordinary resolution under Cayman Islands law, which requires the affirmative vote of shareholders holding a majority of ordinary shares who attend and vote at a general meeting (referred to herein as a “shareholder meeting”) of the company. In such case, our sponsor and each of our directors and executive officers have agreed to vote their founder shares and any public shares purchased during or after this offering in favor of our initial business combination. As a result, in addition to our initial shareholders’ founder shares, we would need 32,812,501 or 37.5% (assuming all outstanding shares are voted and the over-allotment option is not exercised), or 5,468,751 or 6.25% (assuming only the minimum number of shares representing a quorum are voted and the over-allotment option is not exercised), of the 87,500,000 public shares sold in this offering to be voted in favor of an initial business combination to have our initial business combination approved. Each public shareholder may elect to have their public shares redeemed irrespective of whether they vote for or against the proposed transaction or vote at all. Our amended and restated memorandum and articles of association will require that at least five days’ notice will be given of any such shareholder meeting.</w:t>
      </w:r>
    </w:p>
    <w:p>
      <w:pPr>
        <w:spacing w:after="0" w:line="222" w:lineRule="exact"/>
        <w:rPr>
          <w:sz w:val="20"/>
          <w:szCs w:val="20"/>
          <w:color w:val="auto"/>
        </w:rPr>
      </w:pPr>
    </w:p>
    <w:p>
      <w:pPr>
        <w:ind w:left="4340" w:right="120"/>
        <w:spacing w:after="0" w:line="282" w:lineRule="auto"/>
        <w:rPr>
          <w:sz w:val="20"/>
          <w:szCs w:val="20"/>
          <w:color w:val="auto"/>
        </w:rPr>
      </w:pPr>
      <w:r>
        <w:rPr>
          <w:rFonts w:ascii="Times New Roman" w:cs="Times New Roman" w:eastAsia="Times New Roman" w:hAnsi="Times New Roman"/>
          <w:sz w:val="18"/>
          <w:szCs w:val="18"/>
          <w:color w:val="auto"/>
        </w:rPr>
        <w:t>If we conduct redemptions pursuant to the tender offer rules of the SEC, we will, pursuant to our amended and restated memorandum and articles of association:</w:t>
      </w:r>
    </w:p>
    <w:p>
      <w:pPr>
        <w:spacing w:after="0" w:line="67" w:lineRule="exact"/>
        <w:rPr>
          <w:sz w:val="20"/>
          <w:szCs w:val="20"/>
          <w:color w:val="auto"/>
        </w:rPr>
      </w:pPr>
    </w:p>
    <w:p>
      <w:pPr>
        <w:ind w:left="4520" w:right="280" w:hanging="153"/>
        <w:spacing w:after="0" w:line="282" w:lineRule="auto"/>
        <w:tabs>
          <w:tab w:leader="none" w:pos="4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pursuant to Rule 13e-4 and Regulation 14E of the Exchange Act, which regulate issuer tender offers; and</w:t>
      </w:r>
    </w:p>
    <w:p>
      <w:pPr>
        <w:spacing w:after="0" w:line="67" w:lineRule="exact"/>
        <w:rPr>
          <w:rFonts w:ascii="Times New Roman" w:cs="Times New Roman" w:eastAsia="Times New Roman" w:hAnsi="Times New Roman"/>
          <w:sz w:val="18"/>
          <w:szCs w:val="18"/>
          <w:color w:val="auto"/>
        </w:rPr>
      </w:pPr>
    </w:p>
    <w:p>
      <w:pPr>
        <w:ind w:left="4520" w:right="100" w:hanging="153"/>
        <w:spacing w:after="0" w:line="266" w:lineRule="auto"/>
        <w:tabs>
          <w:tab w:leader="none" w:pos="4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w:t>
      </w: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320" w:top="455"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4133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5413375"/>
                    </a:xfrm>
                    <a:prstGeom prst="rect">
                      <a:avLst/>
                    </a:prstGeom>
                    <a:noFill/>
                  </pic:spPr>
                </pic:pic>
              </a:graphicData>
            </a:graphic>
          </wp:anchor>
        </w:drawing>
      </w:r>
    </w:p>
    <w:p>
      <w:pPr>
        <w:sectPr>
          <w:pgSz w:w="11900" w:h="16838" w:orient="portrait"/>
          <w:cols w:equalWidth="0" w:num="1">
            <w:col w:w="10920"/>
          </w:cols>
          <w:pgMar w:left="320" w:top="45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hanging="78"/>
        <w:spacing w:after="0" w:line="266" w:lineRule="auto"/>
        <w:rPr>
          <w:sz w:val="20"/>
          <w:szCs w:val="20"/>
          <w:color w:val="auto"/>
        </w:rPr>
      </w:pPr>
      <w:r>
        <w:rPr>
          <w:rFonts w:ascii="Times New Roman" w:cs="Times New Roman" w:eastAsia="Times New Roman" w:hAnsi="Times New Roman"/>
          <w:sz w:val="18"/>
          <w:szCs w:val="18"/>
          <w:color w:val="auto"/>
        </w:rPr>
        <w:t>Limitation on redemption rights of shareholders holding more than 15% of the shares sold in this offering if we hold shareholder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Regulation 14A of the Exchange Act, which regulates the solicitation of proxies.</w:t>
      </w:r>
    </w:p>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Upon the public announcement of our initial business combination, if we elect to conduct redemptions pursuant to the tender offer rules, we or our sponsor will terminate any plan established in accordance with Rule 10b5-1 to purchase our Class A ordinary shares in the open market, to comply with Rule 14e-5 under the Exchange Act.</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having their shares redeemed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require us to redeem their shares as a means to force us or our directors and executive officers or affiliates of our sponsor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require us to redeem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w:t>
      </w:r>
    </w:p>
    <w:p>
      <w:pPr>
        <w:spacing w:after="0" w:line="200" w:lineRule="exact"/>
        <w:rPr>
          <w:sz w:val="20"/>
          <w:szCs w:val="20"/>
          <w:color w:val="auto"/>
        </w:rPr>
      </w:pPr>
    </w:p>
    <w:p>
      <w:pPr>
        <w:sectPr>
          <w:pgSz w:w="11900" w:h="16838" w:orient="portrait"/>
          <w:cols w:equalWidth="0" w:num="2">
            <w:col w:w="3860" w:space="480"/>
            <w:col w:w="6580"/>
          </w:cols>
          <w:pgMar w:left="320" w:top="455" w:right="659" w:bottom="1440" w:gutter="0" w:footer="0" w:header="0"/>
          <w:type w:val="continuous"/>
        </w:sectPr>
      </w:pPr>
    </w:p>
    <w:p>
      <w:pPr>
        <w:spacing w:after="0" w:line="1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320" w:top="455" w:right="6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2673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526732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Release of funds in trust account on closing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right="80" w:hanging="78"/>
        <w:spacing w:after="0" w:line="312" w:lineRule="auto"/>
        <w:rPr>
          <w:sz w:val="20"/>
          <w:szCs w:val="20"/>
          <w:color w:val="auto"/>
        </w:rPr>
      </w:pPr>
      <w:r>
        <w:rPr>
          <w:rFonts w:ascii="Times New Roman" w:cs="Times New Roman" w:eastAsia="Times New Roman" w:hAnsi="Times New Roman"/>
          <w:sz w:val="17"/>
          <w:szCs w:val="17"/>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that we have a minimum net worth or a certain amount of cash. However, the ability of our shareholders to vote all of their shares (including all shares held by those shareholders that hold more than 15% of the shares sold in this offering) for or against our initial business combination would not be restricted.</w:t>
      </w:r>
    </w:p>
    <w:p>
      <w:pPr>
        <w:spacing w:after="0" w:line="22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On the completion of our initial business combination, the funds held in the trust account will be disbursed directly by the trustee to pay amounts due to any public shareholders who exercise their redemption rights as described above adjacent to the caption “Redemption rights for public shareholders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post-business combination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we will have only 24 months from the closing of this offering to consummate our initial business combination. If we have not consummated an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in all cases subject to the other requirements of</w:t>
      </w:r>
    </w:p>
    <w:p>
      <w:pPr>
        <w:spacing w:after="0" w:line="200" w:lineRule="exact"/>
        <w:rPr>
          <w:sz w:val="20"/>
          <w:szCs w:val="20"/>
          <w:color w:val="auto"/>
        </w:rPr>
      </w:pPr>
    </w:p>
    <w:p>
      <w:pPr>
        <w:sectPr>
          <w:pgSz w:w="11900" w:h="16838" w:orient="portrait"/>
          <w:cols w:equalWidth="0" w:num="2">
            <w:col w:w="3920" w:space="420"/>
            <w:col w:w="6600"/>
          </w:cols>
          <w:pgMar w:left="320" w:top="455" w:right="639" w:bottom="1440" w:gutter="0" w:footer="0" w:header="0"/>
          <w:type w:val="continuous"/>
        </w:sectPr>
      </w:pPr>
    </w:p>
    <w:p>
      <w:pPr>
        <w:spacing w:after="0" w:line="1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320" w:top="455" w:right="6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331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100"/>
        <w:spacing w:after="0" w:line="266" w:lineRule="auto"/>
        <w:rPr>
          <w:sz w:val="20"/>
          <w:szCs w:val="20"/>
          <w:color w:val="auto"/>
        </w:rPr>
      </w:pPr>
      <w:r>
        <w:rPr>
          <w:rFonts w:ascii="Times New Roman" w:cs="Times New Roman" w:eastAsia="Times New Roman" w:hAnsi="Times New Roman"/>
          <w:sz w:val="18"/>
          <w:szCs w:val="18"/>
          <w:color w:val="auto"/>
        </w:rPr>
        <w:t>applicable law. There will be no redemption rights or liquidating distributions with respect to our warrants, which will expire worthless if we fail to consummate an initial business combination within 24 months from the closing of this offering.</w:t>
      </w:r>
    </w:p>
    <w:p>
      <w:pPr>
        <w:spacing w:after="0" w:line="216" w:lineRule="exact"/>
        <w:rPr>
          <w:sz w:val="20"/>
          <w:szCs w:val="20"/>
          <w:color w:val="auto"/>
        </w:rPr>
      </w:pPr>
    </w:p>
    <w:p>
      <w:pPr>
        <w:ind w:left="4340"/>
        <w:spacing w:after="0" w:line="254" w:lineRule="auto"/>
        <w:rPr>
          <w:sz w:val="20"/>
          <w:szCs w:val="20"/>
          <w:color w:val="auto"/>
        </w:rPr>
      </w:pPr>
      <w:r>
        <w:rPr>
          <w:rFonts w:ascii="Times New Roman" w:cs="Times New Roman" w:eastAsia="Times New Roman" w:hAnsi="Times New Roman"/>
          <w:sz w:val="18"/>
          <w:szCs w:val="18"/>
          <w:color w:val="auto"/>
        </w:rPr>
        <w:t>Our sponsor, directors and executive officers have entered into an agreement with us pursuant to which they have waived their rights to liquidating distributions from the trust account with respect to their founder shares if we fail to consummate an initial business combination within 24 months from the closing of this offering. However, if our sponsor, directors or executive officers acquire public shares in or after this offering, they will be entitled to liquidating distributions from the trust account with respect to such public shares if we fail to consummate an initial business combination within 24 months from the closing of this offering.</w:t>
      </w:r>
    </w:p>
    <w:p>
      <w:pPr>
        <w:spacing w:after="0" w:line="219" w:lineRule="exact"/>
        <w:rPr>
          <w:sz w:val="20"/>
          <w:szCs w:val="20"/>
          <w:color w:val="auto"/>
        </w:rPr>
      </w:pPr>
    </w:p>
    <w:p>
      <w:pPr>
        <w:ind w:left="4340" w:right="40"/>
        <w:spacing w:after="0" w:line="258" w:lineRule="auto"/>
        <w:rPr>
          <w:sz w:val="20"/>
          <w:szCs w:val="20"/>
          <w:color w:val="auto"/>
        </w:rPr>
      </w:pPr>
      <w:r>
        <w:rPr>
          <w:rFonts w:ascii="Times New Roman" w:cs="Times New Roman" w:eastAsia="Times New Roman" w:hAnsi="Times New Roman"/>
          <w:sz w:val="18"/>
          <w:szCs w:val="18"/>
          <w:color w:val="auto"/>
        </w:rPr>
        <w:t>The underwriters have agreed to waive their rights to their deferred underwriting commission held in the trust account in the event we do not consummate an initial business combination within 24 months from the closing of this offering and, in such event, such amounts will be included with the funds held in the trust account that will be available to fund the redemption of our public shares.</w:t>
      </w:r>
    </w:p>
    <w:p>
      <w:pPr>
        <w:spacing w:after="0" w:line="210" w:lineRule="exact"/>
        <w:rPr>
          <w:sz w:val="20"/>
          <w:szCs w:val="20"/>
          <w:color w:val="auto"/>
        </w:rPr>
      </w:pPr>
    </w:p>
    <w:p>
      <w:pPr>
        <w:ind w:left="4340"/>
        <w:spacing w:after="0" w:line="252" w:lineRule="auto"/>
        <w:rPr>
          <w:sz w:val="20"/>
          <w:szCs w:val="20"/>
          <w:color w:val="auto"/>
        </w:rPr>
      </w:pPr>
      <w:r>
        <w:rPr>
          <w:rFonts w:ascii="Times New Roman" w:cs="Times New Roman" w:eastAsia="Times New Roman" w:hAnsi="Times New Roman"/>
          <w:sz w:val="18"/>
          <w:szCs w:val="18"/>
          <w:color w:val="auto"/>
        </w:rPr>
        <w:t>Our sponsor, executive officers, directors and director nominees have agreed,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unless we provide our public shareholders with the opportunity to have their Class A ordinary shares redeemed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above adjacent to the caption “Limitations on redemptions.” For example, our board of directors may propose such an amendment if it determines that additional time is necessary to complete our initial business combination. In such event, we will conduct a proxy solicitation and distribute proxy materials pursuant to Regulation 14A of the Exchange Act seeking shareholder approval of such proposal and, in connection therewith, provide our public shareholders with the redemption rights described above upon shareholder approval of such amendment. This redemption right shall apply in the event of the approval of any such amendment, whether proposed by our sponsor,</w:t>
      </w:r>
    </w:p>
    <w:p>
      <w:pPr>
        <w:spacing w:after="0" w:line="3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320" w:top="455"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333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any executive officer, director or director nominee, or any other person.</w:t>
      </w:r>
    </w:p>
    <w:p>
      <w:pPr>
        <w:spacing w:after="0" w:line="266" w:lineRule="exact"/>
        <w:rPr>
          <w:sz w:val="20"/>
          <w:szCs w:val="20"/>
          <w:color w:val="auto"/>
        </w:rPr>
      </w:pPr>
    </w:p>
    <w:p>
      <w:pPr>
        <w:ind w:left="4340" w:right="20"/>
        <w:spacing w:after="0" w:line="258"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ectPr>
          <w:pgSz w:w="11900" w:h="16838" w:orient="portrait"/>
          <w:cols w:equalWidth="0" w:num="1">
            <w:col w:w="10900"/>
          </w:cols>
          <w:pgMar w:left="320" w:top="455" w:right="679" w:bottom="1440" w:gutter="0" w:footer="0" w:header="0"/>
        </w:sectPr>
      </w:pP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Limited payments to insiders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will be no finder’s fees, reimbursements or cash payments made by the company to our sponsor, officers or directors, or our or their affiliates, for services rendered to us prior to or in connection with the completion of our initial business combination, other than the following payments, none of which will be made from the proceeds of this offering and the sale of the private placement warrants held in the trust account prior to the completion of our initial business combination:</w:t>
      </w:r>
    </w:p>
    <w:p>
      <w:pPr>
        <w:spacing w:after="0" w:line="93"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4520" w:right="340" w:hanging="156"/>
        <w:spacing w:after="0" w:line="282" w:lineRule="auto"/>
        <w:rPr>
          <w:sz w:val="20"/>
          <w:szCs w:val="20"/>
          <w:color w:val="auto"/>
        </w:rPr>
      </w:pPr>
      <w:r>
        <w:rPr>
          <w:rFonts w:ascii="Times New Roman" w:cs="Times New Roman" w:eastAsia="Times New Roman" w:hAnsi="Times New Roman"/>
          <w:sz w:val="18"/>
          <w:szCs w:val="18"/>
          <w:color w:val="auto"/>
        </w:rPr>
        <w:t>• Repayment of up to an aggregate of $300,000 in loans made to us by our sponsor to cover offering-related and organizational expenses;</w:t>
      </w:r>
    </w:p>
    <w:p>
      <w:pPr>
        <w:spacing w:after="0" w:line="67" w:lineRule="exact"/>
        <w:rPr>
          <w:sz w:val="20"/>
          <w:szCs w:val="20"/>
          <w:color w:val="auto"/>
        </w:rPr>
      </w:pPr>
    </w:p>
    <w:p>
      <w:pPr>
        <w:jc w:val="both"/>
        <w:ind w:left="4520" w:right="600" w:hanging="156"/>
        <w:spacing w:after="0" w:line="266" w:lineRule="auto"/>
        <w:rPr>
          <w:sz w:val="20"/>
          <w:szCs w:val="20"/>
          <w:color w:val="auto"/>
        </w:rPr>
      </w:pPr>
      <w:r>
        <w:rPr>
          <w:rFonts w:ascii="Times New Roman" w:cs="Times New Roman" w:eastAsia="Times New Roman" w:hAnsi="Times New Roman"/>
          <w:sz w:val="18"/>
          <w:szCs w:val="18"/>
          <w:color w:val="auto"/>
        </w:rPr>
        <w:t>• Affiliates of our sponsor will be entitled to reimbursement for any out-of-pocket expenses (or an allocable portion thereof), to the extent that such affiliates incur expenses for services provided to us before our initial business combination;</w:t>
      </w:r>
    </w:p>
    <w:p>
      <w:pPr>
        <w:spacing w:after="0" w:line="81" w:lineRule="exact"/>
        <w:rPr>
          <w:sz w:val="20"/>
          <w:szCs w:val="20"/>
          <w:color w:val="auto"/>
        </w:rPr>
      </w:pPr>
    </w:p>
    <w:p>
      <w:pPr>
        <w:ind w:left="4520" w:right="160" w:hanging="156"/>
        <w:spacing w:after="0" w:line="282" w:lineRule="auto"/>
        <w:rPr>
          <w:sz w:val="20"/>
          <w:szCs w:val="20"/>
          <w:color w:val="auto"/>
        </w:rPr>
      </w:pPr>
      <w:r>
        <w:rPr>
          <w:rFonts w:ascii="Times New Roman" w:cs="Times New Roman" w:eastAsia="Times New Roman" w:hAnsi="Times New Roman"/>
          <w:sz w:val="18"/>
          <w:szCs w:val="18"/>
          <w:color w:val="auto"/>
        </w:rPr>
        <w:t>• Reimbursement for office space, secretarial and administrative services provided to us by an affiliate of our sponsor, in the amount of $16,667 per month;</w:t>
      </w:r>
    </w:p>
    <w:p>
      <w:pPr>
        <w:spacing w:after="0" w:line="67" w:lineRule="exact"/>
        <w:rPr>
          <w:sz w:val="20"/>
          <w:szCs w:val="20"/>
          <w:color w:val="auto"/>
        </w:rPr>
      </w:pPr>
    </w:p>
    <w:p>
      <w:pPr>
        <w:ind w:left="4520" w:right="340" w:hanging="156"/>
        <w:spacing w:after="0" w:line="282" w:lineRule="auto"/>
        <w:rPr>
          <w:sz w:val="20"/>
          <w:szCs w:val="20"/>
          <w:color w:val="auto"/>
        </w:rPr>
      </w:pPr>
      <w:r>
        <w:rPr>
          <w:rFonts w:ascii="Times New Roman" w:cs="Times New Roman" w:eastAsia="Times New Roman" w:hAnsi="Times New Roman"/>
          <w:sz w:val="18"/>
          <w:szCs w:val="18"/>
          <w:color w:val="auto"/>
        </w:rPr>
        <w:t>• Reimbursement for any out-of-pocket expenses related to identifying, investigating, negotiating and completing an initial business combination; and</w:t>
      </w:r>
    </w:p>
    <w:p>
      <w:pPr>
        <w:spacing w:after="0" w:line="67" w:lineRule="exact"/>
        <w:rPr>
          <w:sz w:val="20"/>
          <w:szCs w:val="20"/>
          <w:color w:val="auto"/>
        </w:rPr>
      </w:pPr>
    </w:p>
    <w:p>
      <w:pPr>
        <w:ind w:left="4520" w:right="40" w:hanging="156"/>
        <w:spacing w:after="0" w:line="257" w:lineRule="auto"/>
        <w:rPr>
          <w:sz w:val="20"/>
          <w:szCs w:val="20"/>
          <w:color w:val="auto"/>
        </w:rPr>
      </w:pPr>
      <w:r>
        <w:rPr>
          <w:rFonts w:ascii="Times New Roman" w:cs="Times New Roman" w:eastAsia="Times New Roman" w:hAnsi="Times New Roman"/>
          <w:sz w:val="18"/>
          <w:szCs w:val="18"/>
          <w:color w:val="auto"/>
        </w:rPr>
        <w:t>• Repayment of loans which may be made by our sponsor or an affiliate of our sponsor or certain of our officers and directors to finance transaction costs in connection with an intended initial business combination. Up to $2,000,000 of such loans may be</w:t>
      </w:r>
    </w:p>
    <w:p>
      <w:pPr>
        <w:sectPr>
          <w:pgSz w:w="11900" w:h="16838" w:orient="portrait"/>
          <w:cols w:equalWidth="0" w:num="1">
            <w:col w:w="10900"/>
          </w:cols>
          <w:pgMar w:left="320" w:top="455" w:right="679" w:bottom="1440" w:gutter="0" w:footer="0" w:header="0"/>
          <w:type w:val="continuous"/>
        </w:sectPr>
      </w:pPr>
    </w:p>
    <w:p>
      <w:pPr>
        <w:spacing w:after="0" w:line="1" w:lineRule="exact"/>
        <w:rPr>
          <w:sz w:val="20"/>
          <w:szCs w:val="20"/>
          <w:color w:val="auto"/>
        </w:rPr>
      </w:pPr>
    </w:p>
    <w:p>
      <w:pPr>
        <w:ind w:left="4520" w:right="100"/>
        <w:spacing w:after="0" w:line="253" w:lineRule="auto"/>
        <w:rPr>
          <w:sz w:val="20"/>
          <w:szCs w:val="20"/>
          <w:color w:val="auto"/>
        </w:rPr>
      </w:pPr>
      <w:r>
        <w:rPr>
          <w:rFonts w:ascii="Times New Roman" w:cs="Times New Roman" w:eastAsia="Times New Roman" w:hAnsi="Times New Roman"/>
          <w:sz w:val="18"/>
          <w:szCs w:val="18"/>
          <w:color w:val="auto"/>
        </w:rPr>
        <w:t>convertible into warrants of the post business combination entity at a price of $1.50 per warrant at the option of the lender. The warrants would be identical to the private placement warrants. Except for the foregoing, the terms of such loans, if any, have not been determined and no written agreements exist with respect to such loans.</w:t>
      </w:r>
    </w:p>
    <w:p>
      <w:pPr>
        <w:spacing w:after="0" w:line="216" w:lineRule="exact"/>
        <w:rPr>
          <w:sz w:val="20"/>
          <w:szCs w:val="20"/>
          <w:color w:val="auto"/>
        </w:rPr>
      </w:pPr>
    </w:p>
    <w:p>
      <w:pPr>
        <w:ind w:left="4340"/>
        <w:spacing w:after="0" w:line="261" w:lineRule="auto"/>
        <w:rPr>
          <w:sz w:val="20"/>
          <w:szCs w:val="20"/>
          <w:color w:val="auto"/>
        </w:rPr>
      </w:pPr>
      <w:r>
        <w:rPr>
          <w:rFonts w:ascii="Times New Roman" w:cs="Times New Roman" w:eastAsia="Times New Roman" w:hAnsi="Times New Roman"/>
          <w:sz w:val="18"/>
          <w:szCs w:val="18"/>
          <w:color w:val="auto"/>
        </w:rPr>
        <w:t>Any such payments will be made either (i) prior to our initial business combination using proceeds of this offering and the sale of the private placement warrants held outside the trust account or from loans made to us by our sponsor or (ii) in connection with or after the consummation of our initial business combination.</w:t>
      </w:r>
    </w:p>
    <w:p>
      <w:pPr>
        <w:spacing w:after="0" w:line="36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00"/>
          </w:cols>
          <w:pgMar w:left="320" w:top="455" w:right="67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292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8100" w:type="dxa"/>
            <w:vAlign w:val="bottom"/>
            <w:tcBorders>
              <w:top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Certain of our directors and executive officers currently have, and any of them in the future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may have additional, fiduciary and contractual duties to other entities, including without</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limitation, Ares and the Ares funds or their current or former portfolio companies. These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funds may have overlapping investment objectives and potential conflicts may arise with</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respect to Ares’ decision regarding how to allocate investment opportunities among these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funds. If any of our directors and executive officers becomes aware of a business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combination opportunity that is suitable for a fund or entity to which he or she has then-</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current fiduciary or contractual obligations (including, without limitation, any Ares funds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or their current or former portfolio companies), then, subject to their fiduciary duties under</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Cayman Islands law, he or she will need to honor such fiduciary or contractual obligations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to present such business combination opportunity to such fund or entity, before we can</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pursue such opportunity. However, we do not expect these duties or contractual obligations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to materially affect our ability to complete our initial business combination. Our amended</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and restated memorandum and articles of association provide that, to the fullest extent</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permitted by applicable law: (i) no individual serving as a director or an officer shall have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any duty, except and to the extent expressly assumed by contract, to refrain from engaging</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directly or indirectly in the same or similar business activities or lines of business as us;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and (ii) we renounce any interest or expectancy in, or in being offered an opportunity to</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participate in, any potential transaction or matter which may be a corporate opportunity</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(including with respect to any business transaction that may involve another Ares entity)</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for any director or officer, on the one hand, and us, on the other.</w:t>
            </w:r>
          </w:p>
        </w:tc>
      </w:tr>
      <w:tr>
        <w:trPr>
          <w:trHeight w:val="441"/>
        </w:trPr>
        <w:tc>
          <w:tcPr>
            <w:tcW w:w="2920" w:type="dxa"/>
            <w:vAlign w:val="bottom"/>
            <w:tcBorders>
              <w:left w:val="single" w:sz="8" w:color="auto"/>
            </w:tcBorders>
          </w:tcPr>
          <w:p>
            <w:pPr>
              <w:spacing w:after="0"/>
              <w:rPr>
                <w:sz w:val="24"/>
                <w:szCs w:val="24"/>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 addition, our directors and officers or Ares or its affiliates, including the Ares funds,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may sponsor, form or participate in other blank check companies similar to ours during the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period in which we are seeking an initial business combination. Any such companies may</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present additional conflicts of interest in pursuing an acquisition target, particularly in the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event there is overlap among investment mandates and the director and officer teams. In</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addition, Ares has sponsored other blank check companies in the past and may sponsor</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other blank check companies similar to ours during the period in which we are seeking an</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initial business combination, and members of our management team may participate in</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such blank check companies. In particular, an affiliate of Ares formed, and such affiliate,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Mr. Kaplan, Mr. Arougheti, Mr. Phillips, Ms. Satin and Mr. Ogilvie are actively engaged in,</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AAC, a special purpose acquisition company that completed its initial public offering in</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February 2021. AAC, like us, may pursue initial business combination targets in any</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businesses or industries and has until February 2023 to do so (which date may be extended</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under certain circumstances). Any such companies, including AAC, may present additional</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conflicts of interest in pursuing an acquisition target, particularly if there is overlap among</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investment mandates and the</w:t>
            </w:r>
          </w:p>
        </w:tc>
      </w:tr>
      <w:tr>
        <w:trPr>
          <w:trHeight w:val="240"/>
        </w:trPr>
        <w:tc>
          <w:tcPr>
            <w:tcW w:w="2920" w:type="dxa"/>
            <w:vAlign w:val="bottom"/>
            <w:tcBorders>
              <w:left w:val="single" w:sz="8" w:color="auto"/>
              <w:bottom w:val="single" w:sz="8" w:color="auto"/>
            </w:tcBorders>
          </w:tcPr>
          <w:p>
            <w:pPr>
              <w:spacing w:after="0"/>
              <w:rPr>
                <w:sz w:val="20"/>
                <w:szCs w:val="20"/>
                <w:color w:val="auto"/>
              </w:rPr>
            </w:pPr>
          </w:p>
        </w:tc>
        <w:tc>
          <w:tcPr>
            <w:tcW w:w="8100" w:type="dxa"/>
            <w:vAlign w:val="bottom"/>
            <w:tcBorders>
              <w:bottom w:val="single" w:sz="8" w:color="auto"/>
              <w:right w:val="single" w:sz="8" w:color="auto"/>
            </w:tcBorders>
          </w:tcPr>
          <w:p>
            <w:pPr>
              <w:spacing w:after="0"/>
              <w:rPr>
                <w:sz w:val="20"/>
                <w:szCs w:val="20"/>
                <w:color w:val="auto"/>
              </w:rPr>
            </w:pPr>
          </w:p>
        </w:tc>
      </w:tr>
      <w:tr>
        <w:trPr>
          <w:trHeight w:val="361"/>
        </w:trPr>
        <w:tc>
          <w:tcPr>
            <w:tcW w:w="2920" w:type="dxa"/>
            <w:vAlign w:val="bottom"/>
          </w:tcPr>
          <w:p>
            <w:pPr>
              <w:spacing w:after="0"/>
              <w:rPr>
                <w:sz w:val="24"/>
                <w:szCs w:val="24"/>
                <w:color w:val="auto"/>
              </w:rPr>
            </w:pPr>
          </w:p>
        </w:tc>
        <w:tc>
          <w:tcPr>
            <w:tcW w:w="81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31</w:t>
            </w:r>
          </w:p>
        </w:tc>
      </w:tr>
    </w:tbl>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532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6553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340" w:right="240"/>
        <w:spacing w:after="0" w:line="266" w:lineRule="auto"/>
        <w:rPr>
          <w:sz w:val="20"/>
          <w:szCs w:val="20"/>
          <w:color w:val="auto"/>
        </w:rPr>
      </w:pPr>
      <w:r>
        <w:rPr>
          <w:rFonts w:ascii="Times New Roman" w:cs="Times New Roman" w:eastAsia="Times New Roman" w:hAnsi="Times New Roman"/>
          <w:sz w:val="18"/>
          <w:szCs w:val="18"/>
          <w:color w:val="auto"/>
        </w:rPr>
        <w:t>board and management teams. However, we do not currently expect that any such other blank check company would materially affect our ability to complete our initial business combination.</w:t>
      </w:r>
    </w:p>
    <w:p>
      <w:pPr>
        <w:sectPr>
          <w:pgSz w:w="11900" w:h="16838" w:orient="portrait"/>
          <w:cols w:equalWidth="0" w:num="1">
            <w:col w:w="10940"/>
          </w:cols>
          <w:pgMar w:left="320" w:top="455" w:right="639" w:bottom="1440" w:gutter="0" w:footer="0" w:header="0"/>
        </w:sect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our board of directors will establish and maintain an audit committee composed entirely of independent directors. Among its responsibilities, the audit committee will review on a quarterly basis all payments that were made to our sponsor, officers or directors, or our or their affiliates and monitor compliance with the other terms relating to this offering. If any noncompliance is identified, then the audit committee will be charged with the responsibility to promptly take all action necessary to rectify such noncompliance or otherwise to cause compliance with the terms of this offering. For more information, see the section entitled “Management—Committees of the Board of Directors—Audit Committee.”</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300" w:right="200"/>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 Such risks include, but are not limited to:</w:t>
      </w:r>
    </w:p>
    <w:p>
      <w:pPr>
        <w:spacing w:after="0" w:line="85" w:lineRule="exact"/>
        <w:rPr>
          <w:sz w:val="20"/>
          <w:szCs w:val="20"/>
          <w:color w:val="auto"/>
        </w:rPr>
      </w:pPr>
    </w:p>
    <w:p>
      <w:pPr>
        <w:ind w:left="1240" w:right="22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recently incorporated company with no operating history and no revenues, and you have no basis on which to evaluate our ability to achieve our business objective.</w:t>
      </w:r>
    </w:p>
    <w:p>
      <w:pPr>
        <w:spacing w:after="0" w:line="67" w:lineRule="exact"/>
        <w:rPr>
          <w:rFonts w:ascii="Times New Roman" w:cs="Times New Roman" w:eastAsia="Times New Roman" w:hAnsi="Times New Roman"/>
          <w:sz w:val="18"/>
          <w:szCs w:val="18"/>
          <w:color w:val="auto"/>
        </w:rPr>
      </w:pPr>
    </w:p>
    <w:p>
      <w:pPr>
        <w:jc w:val="both"/>
        <w:ind w:left="1240" w:right="80" w:hanging="415"/>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performance by Ares or its affiliates or our directors and executive officers, including investments and transactions in which they have participated and businesses with which they have been associated, may not be indicative of future performance of an investment in us, and we may be unable to provide positive returns to shareholders.</w:t>
      </w:r>
    </w:p>
    <w:p>
      <w:pPr>
        <w:spacing w:after="0" w:line="81"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67"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only opportunity to affect the investment decision regarding a potential business combination may be limited to the exercise of your right to redeem your shares from us for cash, unless we seek stockholder approval of such business combination.</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our sponsor, directors and executive officers have agreed to vote in favor of such initial business combination, regardless of how our public shareholders vote.</w:t>
      </w:r>
    </w:p>
    <w:p>
      <w:pPr>
        <w:spacing w:after="0" w:line="67" w:lineRule="exact"/>
        <w:rPr>
          <w:rFonts w:ascii="Times New Roman" w:cs="Times New Roman" w:eastAsia="Times New Roman" w:hAnsi="Times New Roman"/>
          <w:sz w:val="18"/>
          <w:szCs w:val="18"/>
          <w:color w:val="auto"/>
        </w:rPr>
      </w:pPr>
    </w:p>
    <w:p>
      <w:pPr>
        <w:ind w:left="1240" w:right="200" w:hanging="415"/>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public shareholders to exercise redemption rights for shares that they hold for cash may make our financial condition unattractive to potential business combination targets and may make it difficult for us to enter into a business combination with a target.</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public shareholders to exercise redemption rights with respect to a significant portion of our shares may not allow us to complete the most desirable business combination or optimize our capital structure.</w:t>
      </w:r>
    </w:p>
    <w:p>
      <w:pPr>
        <w:spacing w:after="0" w:line="67" w:lineRule="exact"/>
        <w:rPr>
          <w:rFonts w:ascii="Times New Roman" w:cs="Times New Roman" w:eastAsia="Times New Roman" w:hAnsi="Times New Roman"/>
          <w:sz w:val="18"/>
          <w:szCs w:val="18"/>
          <w:color w:val="auto"/>
        </w:rPr>
      </w:pPr>
    </w:p>
    <w:p>
      <w:pPr>
        <w:ind w:left="1240" w:right="120" w:hanging="415"/>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public shareholders to exercise redemption rights with respect to a significant portion of our shares could increase the probability that our initial business combination is unsuccessful and that you would have to wait for liquidation for your shares to be redeemed.</w:t>
      </w: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320" w:top="455" w:right="6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39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415"/>
        <w:spacing w:after="0" w:line="261"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consummate an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as we approach our dissolution deadline, which could undermine our ability to complete our initial business combination on terms that would produce value for our shareholders.</w:t>
      </w:r>
    </w:p>
    <w:p>
      <w:pPr>
        <w:spacing w:after="0" w:line="85"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consummate an initial business combination within 24 months after the closing of this offering, in which case we would cease all operations except for the purpose of winding up and we would redeem our public shares and liquidate.</w:t>
      </w:r>
    </w:p>
    <w:p>
      <w:pPr>
        <w:spacing w:after="0" w:line="67" w:lineRule="exact"/>
        <w:rPr>
          <w:rFonts w:ascii="Times New Roman" w:cs="Times New Roman" w:eastAsia="Times New Roman" w:hAnsi="Times New Roman"/>
          <w:sz w:val="18"/>
          <w:szCs w:val="18"/>
          <w:color w:val="auto"/>
        </w:rPr>
      </w:pPr>
    </w:p>
    <w:p>
      <w:pPr>
        <w:ind w:left="1240" w:right="46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our sponsor, directors, executive officers, advisors and their affiliates may elect to purchase public shares or warrants from public shareholders, which may influence a vote on a proposed business combination and reduce the public “float” of our Class A ordinary shares or warrants.</w:t>
      </w:r>
    </w:p>
    <w:p>
      <w:pPr>
        <w:spacing w:after="0" w:line="81"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67"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NYSE may delist our securities from trading on its exchange, which could limit investors’ ability to make transactions in our securities and subject us to additional trading restrictions.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entitled to protections normally afforded to investors of many other blank check companies.</w:t>
      </w:r>
    </w:p>
    <w:p>
      <w:pPr>
        <w:spacing w:after="0" w:line="130" w:lineRule="exact"/>
        <w:rPr>
          <w:rFonts w:ascii="Times New Roman" w:cs="Times New Roman" w:eastAsia="Times New Roman" w:hAnsi="Times New Roman"/>
          <w:sz w:val="18"/>
          <w:szCs w:val="18"/>
          <w:color w:val="auto"/>
        </w:rPr>
      </w:pPr>
    </w:p>
    <w:p>
      <w:pPr>
        <w:jc w:val="both"/>
        <w:ind w:left="1240" w:right="22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require us to redeem all such shares in excess of 15% of our Class A ordinary shares.</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67" w:lineRule="exact"/>
        <w:rPr>
          <w:rFonts w:ascii="Times New Roman" w:cs="Times New Roman" w:eastAsia="Times New Roman" w:hAnsi="Times New Roman"/>
          <w:sz w:val="18"/>
          <w:szCs w:val="18"/>
          <w:color w:val="auto"/>
        </w:rPr>
      </w:pPr>
    </w:p>
    <w:p>
      <w:pPr>
        <w:ind w:left="1240" w:right="120" w:hanging="415"/>
        <w:spacing w:after="0" w:line="261"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our limited resources and the significant competition for business combination opportunities, including competition from AAC, we may be unable to complete our initial business combination. If we have not completed our initial business combination within 24 months from the closing of this offering, our public shareholders may receive only their pro rata portion of the funds in the trust account that are available for distribution to public shareholders, and our warrants will expire worthless.</w:t>
      </w:r>
    </w:p>
    <w:p>
      <w:pPr>
        <w:spacing w:after="0" w:line="85"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 proceeds of this offering and the sale of the private placement warrants not being held in the trust account are insufficient for us to operate for at least the next 24 months, it could limit the amount available to fund our search for a target business or businesses and complete our initial business combination, and we will depend on loans from our sponsor or directors and executive officers to fund our search and to complete our initial business combination.</w:t>
      </w:r>
    </w:p>
    <w:p>
      <w:pPr>
        <w:spacing w:after="0" w:line="85" w:lineRule="exact"/>
        <w:rPr>
          <w:rFonts w:ascii="Times New Roman" w:cs="Times New Roman" w:eastAsia="Times New Roman" w:hAnsi="Times New Roman"/>
          <w:sz w:val="18"/>
          <w:szCs w:val="18"/>
          <w:color w:val="auto"/>
        </w:rPr>
      </w:pPr>
    </w:p>
    <w:p>
      <w:pPr>
        <w:ind w:left="1240" w:right="62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A ordinary shares will not be entitled to vote on any election of directors we hold prior to our initial business combination.</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incorporated under the laws of the Cayman Islands, you may face difficulties in protecting your interests, and your ability to protect your rights through the U.S. federal courts may be limited.</w:t>
      </w: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320" w:top="455" w:right="6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8903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18903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6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amended and restated memorandum and articles of association may inhibit a takeover of us, which could limit the price investors might be willing to pay in the future for our Class A ordinary shares and could entrench our directors.</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81"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number of special purpose acquisition companies evaluating targets (including special purpose acquisition companies sponsored by affiliates of Ares (including AAC))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discussed in “Risk Factors” and elsewhere in this prospectus.</w:t>
      </w: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860"/>
          </w:cols>
          <w:pgMar w:left="320" w:top="455" w:right="7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0015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20015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29"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relevant financial data for our business and should be read together with “Management’s Discussion and Analysis of Financial Condition and Results of Operations” and the audited financial statements and related notes included elsewhere in this prospectus. We have not had any significant operations to date, so only balance sheet data is presented.</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188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36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900" w:type="dxa"/>
            <w:vAlign w:val="bottom"/>
          </w:tcPr>
          <w:p>
            <w:pPr>
              <w:spacing w:after="0"/>
              <w:rPr>
                <w:sz w:val="15"/>
                <w:szCs w:val="15"/>
                <w:color w:val="auto"/>
              </w:rPr>
            </w:pPr>
          </w:p>
        </w:tc>
      </w:tr>
      <w:tr>
        <w:trPr>
          <w:trHeight w:val="196"/>
        </w:trPr>
        <w:tc>
          <w:tcPr>
            <w:tcW w:w="1880" w:type="dxa"/>
            <w:vAlign w:val="bottom"/>
          </w:tcPr>
          <w:p>
            <w:pPr>
              <w:spacing w:after="0"/>
              <w:rPr>
                <w:sz w:val="17"/>
                <w:szCs w:val="17"/>
                <w:color w:val="auto"/>
              </w:rPr>
            </w:pPr>
          </w:p>
        </w:tc>
        <w:tc>
          <w:tcPr>
            <w:tcW w:w="2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Data:</w:t>
            </w:r>
          </w:p>
        </w:tc>
        <w:tc>
          <w:tcPr>
            <w:tcW w:w="3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tcPr>
          <w:p>
            <w:pPr>
              <w:spacing w:after="0"/>
              <w:rPr>
                <w:sz w:val="17"/>
                <w:szCs w:val="17"/>
                <w:color w:val="auto"/>
              </w:rPr>
            </w:pPr>
          </w:p>
        </w:tc>
      </w:tr>
      <w:tr>
        <w:trPr>
          <w:trHeight w:val="216"/>
        </w:trPr>
        <w:tc>
          <w:tcPr>
            <w:tcW w:w="18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(deficiency)</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(374,713)</w:t>
            </w: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388,070</w:t>
            </w:r>
          </w:p>
        </w:tc>
        <w:tc>
          <w:tcPr>
            <w:tcW w:w="100" w:type="dxa"/>
            <w:vAlign w:val="bottom"/>
            <w:shd w:val="clear" w:color="auto" w:fill="CCEEFF"/>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374,713</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13,357</w:t>
            </w:r>
          </w:p>
        </w:tc>
        <w:tc>
          <w:tcPr>
            <w:tcW w:w="1900" w:type="dxa"/>
            <w:vAlign w:val="bottom"/>
          </w:tcPr>
          <w:p>
            <w:pPr>
              <w:spacing w:after="0"/>
              <w:rPr>
                <w:sz w:val="18"/>
                <w:szCs w:val="18"/>
                <w:color w:val="auto"/>
              </w:rPr>
            </w:pPr>
          </w:p>
        </w:tc>
      </w:tr>
      <w:tr>
        <w:trPr>
          <w:trHeight w:val="240"/>
        </w:trPr>
        <w:tc>
          <w:tcPr>
            <w:tcW w:w="18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361"/>
        </w:trPr>
        <w:tc>
          <w:tcPr>
            <w:tcW w:w="1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0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Initial Business Combination</w:t>
      </w:r>
    </w:p>
    <w:p>
      <w:pPr>
        <w:spacing w:after="0" w:line="117"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51"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We may choose not to hold a shareholder vote before we complete our initial business combination if the business combination would not require shareholder approval under applicable law or stock exchange listing requirement. For instance, if we were seeking to acquire a target business where the consideration we were paying in the transaction was all cash, we would not be required to seek shareholder approval to complete such a transaction.</w:t>
      </w:r>
    </w:p>
    <w:p>
      <w:pPr>
        <w:spacing w:after="0" w:line="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Except for as required by applicable law or stock exchange requirement,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complete our initial business combination even if holders of a majority of our ordinary shares do not approve of the business combination we complete.</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Please see the section entitled “Proposed Business—Shareholders May Not Have the Ability to Approve Our Initial Business Combination” for additional information.</w:t>
      </w:r>
    </w:p>
    <w:p>
      <w:pPr>
        <w:spacing w:after="0" w:line="26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Your only opportunity to affect the investment decision regarding a potential business combination may be limited to the exercise of your right to require us to redeem your shares for cash, unless we seek shareholder approval of such business combination.</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If we seek shareholder approval of our initial business combination, our sponsor, directors and executive officers have agreed to vote in favor of such initial business combination, regardless of how our public shareholders vote.</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sponsor, directors and executive officers have agreed (and their permitted transferees will agree) to vote any founder shares and any public shares held by them in favor of our initial business combination. Our sponsor and our directors and executive officers also may from time to time purchase Class A ordinary shares prior to our initial business combination. Our amended and restated memorandum and articles of association will provide that, if we seek shareholder approval, we will complete our initial business combination only if we obtain the approval of an ordinary resolution under Cayman Islands law, which requires the affirmative vote of shareholders holding a majority of ordinary shares who attend and vote at a shareholder meeting, including the founder shares. As a result, in addition to our initial shareholders’ founder shares, we would need 32,812,501 or 37.5%</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(assuming all outstanding shares are voted and the over-allotment option is not exercised), or 5,468,751 or 6.25% (assuming only the minimum number of shares representing a quorum are voted and the over-allotment option is not exercised), of the 87,500,000 public shares sold in this offering to be voted in favor of an initial business combination to have our initial business combination approved. We expect that our initial shareholders and their permitted transferees will own at least 20% of our outstanding ordinary shares at the time of any such shareholder vote. Accordingly, if we seek shareholder approval of our initial business combination, the agreement by our sponsor and each of our directors and executive officers (and their respective permitted transferees) to vote in favor of our initial business combination will increase the likelihood that we will receive the requisite shareholder approval for such initial business combination.</w:t>
      </w:r>
    </w:p>
    <w:p>
      <w:pPr>
        <w:spacing w:after="0" w:line="293" w:lineRule="exact"/>
        <w:rPr>
          <w:sz w:val="20"/>
          <w:szCs w:val="20"/>
          <w:color w:val="auto"/>
        </w:rPr>
      </w:pPr>
    </w:p>
    <w:p>
      <w:pPr>
        <w:ind w:left="120" w:right="520"/>
        <w:spacing w:after="0" w:line="317" w:lineRule="auto"/>
        <w:rPr>
          <w:sz w:val="20"/>
          <w:szCs w:val="20"/>
          <w:color w:val="auto"/>
        </w:rPr>
      </w:pPr>
      <w:r>
        <w:rPr>
          <w:rFonts w:ascii="Times New Roman" w:cs="Times New Roman" w:eastAsia="Times New Roman" w:hAnsi="Times New Roman"/>
          <w:sz w:val="17"/>
          <w:szCs w:val="17"/>
          <w:b w:val="1"/>
          <w:bCs w:val="1"/>
          <w:color w:val="auto"/>
        </w:rPr>
        <w:t>The ability of our public shareholders to exercise redemption rights for shares that they hold for cash may make our financial condition unattractive to potential business combination targets and may make it difficult for us to enter into a business combination with a target.</w:t>
      </w:r>
    </w:p>
    <w:p>
      <w:pPr>
        <w:spacing w:after="0" w:line="2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seek to enter into a business combination transaction agreement with a prospective target that requires as a closing condition that we have a minimum net worth or a certain amount of cash. If public holders of a substantial portion of our shares were to exercise their redemption rights, we may not be able to meet such closing condition and, as a result, would not be able to proceed with the business combination. Furthermore, to ensure that we do not become subject to the SEC’s penny stock rules,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296"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color w:val="auto"/>
        </w:rPr>
        <w:t>The ability of our public shareholders to exercise redemption rights with respect to a significant portion of our shares may not allow us to complete the most desirable business combination or optimize our capital structure.</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are submitted for redemption than we initially expect, we may need to restructure the transaction to reserve a greater portion of the cash in the trust account or arrange for additional third-party financing. Raising additional third-party financing may involve dilutive equity issuances or the incurrence of indebtedness at higher than desirable levels. These considerations may limit our ability to complete the most attractive business combination available to us or optimize our capital structure. The amount of the deferred underwriting commissions payable to the underwriters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spacing w:after="0" w:line="294"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color w:val="auto"/>
        </w:rPr>
        <w:t>The ability of our public shareholders to exercise redemption rights with respect to a significant portion of our shares could increase the probability that our initial business combination is unsuccessful and that you would have to wait for liquidation for your shares to be redeemed.</w:t>
      </w:r>
    </w:p>
    <w:p>
      <w:pPr>
        <w:spacing w:after="0" w:line="2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our initial business combination agreement requires us to use a portion of the cash in the trust account to pay the purchase price, or requires us to have a minimum amount of cash at closing, the probability that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initial business combination would be unsuccessful is increased. If our initial business combination is unsuccessful, you would not receive your pro rata portion of the funds in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the redemption until we liquidate or you are able to sell your shares in the open market.</w:t>
      </w:r>
    </w:p>
    <w:p>
      <w:pPr>
        <w:spacing w:after="0" w:line="287" w:lineRule="exact"/>
        <w:rPr>
          <w:sz w:val="20"/>
          <w:szCs w:val="20"/>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color w:val="auto"/>
        </w:rPr>
        <w:t>The requirement that we consummate an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as we approach our dissolution deadline, which could undermine our ability to complete our initial business combination on terms that would produce value for our shareholders.</w:t>
      </w:r>
    </w:p>
    <w:p>
      <w:pPr>
        <w:spacing w:after="0" w:line="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potential target business with which we enter into negotiations concerning a business combination will be aware that we must consummate an initial business combination within 24 months from the closing of this offering. Consequently, such target business may obtain leverage over us in negotiating a business combination, knowing that if we do not consummate an initial business combination with that particular target business, we may be unable to complete our initial business combination with any target business. This risk will increase as we get closer to the time frame described above. In addition, we may have limited time to conduct due diligence and may enter into our initial business combination on terms that we would have rejected upon a more comprehensive investigation.</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consummate an initial business combination within 24 months after the closing of this offering, in which case we would cease all operations except for the purpose of winding up and we would redeem our public shares and liquidate.</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may not be able to find a suitable target business and consummate an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coronavirus (“COVID-19”) continues both in the U.S. and globally and, while the extent of the impact of the outbreak on us will depend on future developments, such as the duration and scope of the public health emergency and the actions taken by governmental authorities to contain its financial and economic impact, the outbreak of COVID-19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 If we have not consummated an initial business combination within such applicable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in all cases subject to the other requirements of applicable law.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auto"/>
        </w:rPr>
        <w:t>If we seek shareholder approval of our initial business combination, our sponsor, directors, executive officers, advisors and their affiliates may elect to purchase public shares or warrants from public shareholders, which may influence a vote on a proposed business combination and reduce the public “float” of our Class A ordinary shares or warrants.</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although they are under no obligation to do so. However, other than as expressly stated herein, they have no current commitments, plans or intentions to engage in such transactions and have not formulated any terms or conditions for any such transactions. None of the funds in the trust account will be used to purchase public shares or warrants in such transactions.</w:t>
      </w:r>
    </w:p>
    <w:p>
      <w:pPr>
        <w:spacing w:after="0" w:line="187"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 See “Proposed Business—Permitted Purchases of Our Securities” for a description of how our sponsor, directors, executive officers, advisors or any of their affiliates will select which shareholders to purchase securities from in any private transaction.</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if such purchases are made, the public “float” of our Class A ordinary shares or warrants and the number of beneficial holders of our securities may be reduced, possibly making it difficult to maintain or obtain the quotation, listing or trading of our securities on a national securities exchange.</w:t>
      </w:r>
    </w:p>
    <w:p>
      <w:pPr>
        <w:spacing w:after="0" w:line="28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require us to redeem its shares. In addition, the proxy solicitation or tender offer materials, as applicable, that we will furnish to holders of our public shares in connection with our initial business combination will describe the various procedures that must be complied with to validly redeem or tender public shares. In the event that a shareholder fails to comply with these procedures, its shares may not be redeemed. See “Proposed Business—Business Strategy—Tendering Share Certificates in Connection with a Tender Offer or Redemption Rights.”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require us to redeem all such shares in excess of 15% of our Class A ordinary shares.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shareholders’ ability to vote all of their shares (including Excess Shares) for or against our initial business combination. Your inability to require us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to dispose of such shares, would be required to sell your shares in open market transactions, potentially at a loss.</w:t>
      </w:r>
    </w:p>
    <w:p>
      <w:pPr>
        <w:spacing w:after="0" w:line="298"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5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COVID-19 as a pandemic and the United States has declared a national emergency and every state in the United States is under a federal disaster declaration. The COVID-19 pandemic has resulted in a widespread health crisis that has resulted in numerous deaths, adversely impacted global commercial activity and contributed to significant volatility in equity and debt markets. The business of any potential target business with which we consummate a business combination could be materially and adversely affected by the COVID-19 pandemic.</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Many countries and states in the United States have issued orders requiring the closure of, or certain restrictions on the operation of, nonessential businesses and/or requiring residents to stay at home. The COVID-19 pandemic and preventative measures taken to contain or mitigate its spread have caused, and are continuing to cause, business shutdowns or the re-introduction of business shutdowns, cancellations of events and restrictions on travel, significant reductions in demand for certain goods and services, reductions in business activity and financial transactions, supply chain interruptions and overall economic and financial market instability both globally and in the United States. While several countries, as well as certain states in the United States, have relaxed the public health restrictions with a view to partially or fully reopening their economies, recurring COVID-19 outbreaks could lead to the re-introduction of such restrictions.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including the application and distribution in certain countries of currently available and approved vaccinations,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9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our ability to consummate a transaction may be dependent on the ability to raise equity and debt financing which may be impacted by COVID-19 and other events.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40"/>
        <w:spacing w:after="0" w:line="262" w:lineRule="auto"/>
        <w:rPr>
          <w:sz w:val="20"/>
          <w:szCs w:val="20"/>
          <w:color w:val="auto"/>
        </w:rPr>
      </w:pPr>
      <w:r>
        <w:rPr>
          <w:rFonts w:ascii="Times New Roman" w:cs="Times New Roman" w:eastAsia="Times New Roman" w:hAnsi="Times New Roman"/>
          <w:sz w:val="18"/>
          <w:szCs w:val="18"/>
          <w:b w:val="1"/>
          <w:bCs w:val="1"/>
          <w:color w:val="auto"/>
        </w:rPr>
        <w:t>Because of our limited resources and the significant competition for business combination opportunities, including competition from AAC, we may be unable to complete our initial business combination. If we have not completed our initial business combination within 24 months from the closing of this offering, our public shareholders may receive only their pro rata portion of the funds in the trust account that are available for distribution to public shareholders, and our warrants will expire worthless.</w:t>
      </w:r>
    </w:p>
    <w:p>
      <w:pPr>
        <w:spacing w:after="0" w:line="7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expect to encounter intense competition from other entities having a business objective similar to ours, including private investors (which may be individuals or investment partnerships), other blank check companies (including AAC)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Furthermore, we are obligated to offer holders of our public shares the right to require us to redeem their shares for cash at the time of our initial business combination in conjunction with a shareholder vote or via a tender offer. Target companies will be aware that this may reduce the resources available to us for our initial business combination. Any of these limitations and obligations may place us at a competitive disadvantage in successfully negotiating a business combination. If we have not completed our initial business combination within 24 months from the closing of this offering, our public shareholders may receive only their pro rata portion of the funds in the trust account that are available for distribution to public shareholders, and our warrants will expire worthless. See “Risk Factors— 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299"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color w:val="auto"/>
        </w:rPr>
        <w:t>If the net proceeds of this offering and the sale of the private placement warrants not being held in the trust account are insufficient for us to operate for at least the next 24 months, it could limit the amount available to fund our search for a target business or businesses and complete our initial business combination, and we will depend on loans from our sponsor or directors and executive officers to fund our search and to complete our initial business combination.</w:t>
      </w:r>
    </w:p>
    <w:p>
      <w:pPr>
        <w:spacing w:after="0" w:line="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Of the net proceeds of this offering and the sale of the private placement warrants, only $2,000,000 will be available to us initially outside the trust account to fund our working capital requirements. We believe that, upon closing of this offering, the funds available to us outside of the trust account, together with funds available from loans from our sponsor, will be sufficient for us to operate for at least the next 24 months; however, our operating and transaction expenses may exceed this amount. Of the funds available to us, we expect to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94"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In the event that our offering expenses exceed our estimate of $3,000,000, we may fund such excess with funds not to be held in the trust account. In such case, unless funded by the proceeds of loans available from our sponsor, the amount of funds we intend to be held outside the trust account would decrease by a corresponding amount. Conversely, in the event that the offering expenses are less than our estimate of $3,000,000, the amount</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directors and executive officers or other third parties to operate or may be forced to liquidate. Neither our sponsor, directors or executive officers nor any of their affiliates is under any obligation to advance funds to us in such circumstances. Any such advances would be repaid only from funds held outside the trust account or from funds released to us upon completion of our initial business combination. Up to $2,000,000 of such loans may be convertible into warrants of the post-business combination entity at a price of $1.50 per warrant at the option of the lender. The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have not completed our initial business combination within 24 months from the closing of this offering 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294"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our share price, which could cause you to lose some or all of your investment.</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Even if we conduct due diligence on a target business with which we combine, we cannot assure you that this diligence will surface all material issues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shareholders who choose to remain shareholders following the business combination could suffer a reduction in the value of their securities. These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2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color w:val="auto"/>
        </w:rPr>
        <w:t>If third parties bring claims against us, the proceeds held in the trust account could be reduced and the per-share redemption amount received by shareholders may be less than $10.00 per share.</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placing of funds in the trust account may not protect those funds from third-party claims against us, including any regulatory actions successfully made against the trust account. Although, following our initial public offering, we will seek to have all material vendors, service providers (except for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to gain advantage with respect to a claim against our assets, including the funds held in the trust account. If any third party refuses to execute an agreement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waiving such claims to the monies held in the trust account, our directors and executive officers will consider whether competitive alternatives are reasonably available to the company and will only enter into an agreement with such third party that has not executed a waiver if our directors and executive officers believes that such third party’s engagement would be significantly more beneficial to us than any alternative. The underwriters will not execute an agreement with us waiving such claims to the monies held in the trust account.</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 third party may refuse to execute a waiver in numerous circumstances, such as the engagement of a third-party consultant whose particular expertise or skills are believed by our directors and executive officers to be superior to those of other consultants that would agree to execute a waiver or in cases where our directors and executive officers are unable to retain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24 months from the closing of this offering,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amounts in the trust account to below the lesser of (i) $10.00 per public share and (ii) the actual amount per share held in the trust account as of the date of the liquidation of the trust account if less than $10.00 per share due to reductions in the value of the trust assets, in each case net of the interest that may be withdrawn to pay our tax obligations, provided that such liability will not apply to any claims by a third party or prospective target business that executed a waiver of any and all rights to seek access to the trust account (whether or not such waiver is enforceable) nor will it apply to any claims under our indemnity of the underwriters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93" w:lineRule="exact"/>
        <w:rPr>
          <w:sz w:val="20"/>
          <w:szCs w:val="20"/>
          <w:color w:val="auto"/>
        </w:rPr>
      </w:pPr>
    </w:p>
    <w:p>
      <w:pPr>
        <w:ind w:left="120" w:right="220"/>
        <w:spacing w:after="0" w:line="317" w:lineRule="auto"/>
        <w:rPr>
          <w:sz w:val="20"/>
          <w:szCs w:val="20"/>
          <w:color w:val="auto"/>
        </w:rPr>
      </w:pPr>
      <w:r>
        <w:rPr>
          <w:rFonts w:ascii="Times New Roman" w:cs="Times New Roman" w:eastAsia="Times New Roman" w:hAnsi="Times New Roman"/>
          <w:sz w:val="17"/>
          <w:szCs w:val="17"/>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our activities may be restricted, including:</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nature of our investments;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each of which may make it difficult for us to complete our initial business combination. In addition, we may have imposed upon us burdensome requirements, including:</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as an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specific form of corporate structure;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record keeping, voting, proxy and disclosure requirements and other rules and regulations.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post-business combination business or assets for the long term. We do not plan to buy businesses or assets with a view to resale or profit from their resale. We do not plan to buy unrelated businesses or assets or to be a passive investor.</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or (B) with respect to any other provisions relating to the rights of holders of our Class A ordinary shares; or (iii) absent our completing an initial business combination within 24 months from the closing of this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have not completed our initial business combination within 24 months from the closing of this offering, our public shareholders may only receive their pro rata portion of the funds in the trust account that are available for distribution to public shareholders, and our warrants will expire worthless.</w:t>
      </w:r>
    </w:p>
    <w:p>
      <w:pPr>
        <w:spacing w:after="0" w:line="29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grant of registration rights to our sponsor may make it more difficult to complete our initial business combination, and the future exercise of such rights may adversely affect the market price of our Class A ordinary shares.</w:t>
      </w:r>
    </w:p>
    <w:p>
      <w:pPr>
        <w:spacing w:after="0" w:line="51"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Pursuant to an agreement to be entered into concurrently with the issuance and sale of the securities in this offering, our sponsor and its permitted transferees can demand that we register the Class A ordinary shares into which founder shares are convertible, the private placement warrants and the Class A ordinary shares issuable upon exercise of the private placement warrants, and warrants that may be issued upon conversion of working</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capital loans and the Class A ordinary shares issuable upon conversion of such warrants. The registration rights will be exercisable with respect to the founder shares and the private placement warrants and the Class A ordinary shares issuable upon exercise of such private placement warrants.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securities owned by our sponsor or its permitted transferees are registered.</w:t>
      </w:r>
    </w:p>
    <w:p>
      <w:pPr>
        <w:spacing w:after="0" w:line="293"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Because we are not limited to evaluating a target business in a particular industry sector and have not selected any specific target businesses to pursue in our initial business combination, you will not have the opportunity to assess the merits or risks of any particular target business’s operations.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Although we expect to focus our search for a target business in North America, Europe or Asia, we do not currently contemplate targeting a company in the fossil fuel energy industry, including the upstream midstream and energy services sub-sector. We may pursue business combination opportunities in any industry, sector or location, except that we will not, under our amended and restated memorandum and articles of association,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If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those businesses. Although our officers and directors will endeavor to evaluate the risks inherent in a particular target business, we may not be able to fully assess all of the risks or have adequate time to complete due diligence. Furthermore, some of these risks may be outside of our control and we may be unable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shareholders who choose to remain shareholders following our initial business combination could suffer a decline in the value of their securities. Such shareholders are unlikely to have a remedy for such reduction in value of their securities.</w:t>
      </w:r>
    </w:p>
    <w:p>
      <w:pPr>
        <w:spacing w:after="0" w:line="30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We may seek acquisition opportunities in industries or sectors which may or may not be outside of our directors and executive officers’ area of expertise.</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will consider a business combination outside of our directors and executive officers’ area of expertise if a business combination candidate is presented to us and we determine that such candidate offers an attractive acquisition opportunity for our company. Although our directors and executive officers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an acquisition outside of the areas of our directors and executive officers’ expertise, our directors and executive officers’ expertise may not be directly applicable to its evaluation or operation, and the information contained in this prospectus regarding the areas of our directors and executive officers’ expertise would not be relevant to an understanding of the business that we elect to acquire. As a result, our directors and executive officers may not be able to adequately ascertain or assess all of the significant risk factors. Accordingly, any shareholder who choose to remain shareholders following our business combination could suffer a reduction in the value of their shares. Such shareholders are unlikely to have a remedy for such reduction in value. Such shareholders are unlikely to have a remedy for such reduction in value.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5"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legal reasons, it may be more difficult for us to attain shareholder approval of our initial business combination if the target business does not meet our general criteria and guidelines. If we have not completed our initial business combination within 24 months from the closing of this offering, our public shareholders may only receive their pro rata portion of the funds in the trust account that are available for distribution to public shareholders, and our warrants will expire worthless.</w:t>
      </w:r>
    </w:p>
    <w:p>
      <w:pPr>
        <w:spacing w:after="0" w:line="298" w:lineRule="exact"/>
        <w:rPr>
          <w:sz w:val="20"/>
          <w:szCs w:val="20"/>
          <w:color w:val="auto"/>
        </w:rPr>
      </w:pPr>
    </w:p>
    <w:p>
      <w:pPr>
        <w:ind w:left="120" w:right="220"/>
        <w:spacing w:after="0" w:line="317" w:lineRule="auto"/>
        <w:rPr>
          <w:sz w:val="20"/>
          <w:szCs w:val="20"/>
          <w:color w:val="auto"/>
        </w:rPr>
      </w:pPr>
      <w:r>
        <w:rPr>
          <w:rFonts w:ascii="Times New Roman" w:cs="Times New Roman" w:eastAsia="Times New Roman" w:hAnsi="Times New Roman"/>
          <w:sz w:val="17"/>
          <w:szCs w:val="17"/>
          <w:b w:val="1"/>
          <w:bCs w:val="1"/>
          <w:color w:val="auto"/>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spacing w:after="0" w:line="2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Unless we complete our initial business combination with an affiliated entity, we are not required to obtain an opinion from an independent accounting firm or independent investment banking firm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287" w:lineRule="exact"/>
        <w:rPr>
          <w:sz w:val="20"/>
          <w:szCs w:val="20"/>
          <w:color w:val="auto"/>
        </w:rPr>
      </w:pPr>
    </w:p>
    <w:p>
      <w:pPr>
        <w:jc w:val="both"/>
        <w:ind w:left="120" w:right="480"/>
        <w:spacing w:after="0" w:line="262" w:lineRule="auto"/>
        <w:rPr>
          <w:sz w:val="20"/>
          <w:szCs w:val="20"/>
          <w:color w:val="auto"/>
        </w:rPr>
      </w:pPr>
      <w:r>
        <w:rPr>
          <w:rFonts w:ascii="Times New Roman" w:cs="Times New Roman" w:eastAsia="Times New Roman" w:hAnsi="Times New Roman"/>
          <w:sz w:val="18"/>
          <w:szCs w:val="18"/>
          <w:b w:val="1"/>
          <w:bCs w:val="1"/>
          <w:color w:val="auto"/>
        </w:rPr>
        <w:t>We may issue additional Class A ordinary shares or preference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therein. Any such issuances would dilute the interest of our shareholders and likely present other risks.</w:t>
      </w:r>
    </w:p>
    <w:p>
      <w:pPr>
        <w:spacing w:after="0" w:line="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authorize the issuance of up to 300,000,000 Class A ordinary shares, par value $0.0001 per share, 30,000,000 Class B ordinary shares, par value $0.0001 per share, and 1,000,000 preference shares, par value $0.0001 per share. Immediately after this offering, there will be 212,500,000 and 8,125,000 (assuming in each case that the underwriters have not exercised their over-allotment option)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if any. The Class B ordinary shares will automatically convert into Class A ordinary shares at the time of our initial business combination as described herein and in our amended and restated memorandum and articles of association. Immediately after this offering, there will be no preference shares issued and outstanding.</w:t>
      </w:r>
    </w:p>
    <w:p>
      <w:pPr>
        <w:spacing w:after="0" w:line="19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may issue a substantial number of additional Class A ordinary shares or preference shares to complete our initial business combination or under an employee incentive plan after completion of our initial business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combination. We may also issue Class A ordinary shares to redeem the warrants as described in “Description of Securities—Warrants—Public Shareholders’ Warrants” or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or in connection with our initial business combination, we may not issue additional shares that would entitle the holders thereof to (i) receive funds from the trust account or (ii) 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spacing w:after="0" w:line="9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investors in this offering;</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ordinary shares if preference shares are issued with rights senior to those afforded our Class A ordinary shares;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units, Class A ordinary shares or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result in adjustment to the exercise price of our warrants.</w:t>
      </w:r>
    </w:p>
    <w:p>
      <w:pPr>
        <w:spacing w:after="0" w:line="329"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Unlike most other similarly structured blank check companies, our sponsor will receive additional Class A ordinary shares if we issue shares to consummate an initial business combination.</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In no event will the Class B ordinary shares convert into Class A ordinary shares at a rate of less than one to one. This is different than most other similarly structured blank check companies in which the initial shareholders will only be issued an aggregate of 20% of the total number of shares to be outstanding prior to the initial business combination.</w:t>
      </w:r>
    </w:p>
    <w:p>
      <w:pPr>
        <w:spacing w:after="0" w:line="298"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may issue our shares to investors in connection with our initial business combination at a price which is less than the prevailing market price of our shares at that time.</w:t>
      </w:r>
    </w:p>
    <w:p>
      <w:pPr>
        <w:spacing w:after="0" w:line="5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our initial business combination, we may issue shares to investors in private placement transactions (so-called PIPE transactions) at a price of $10.00 per share or which approximates the per-share amounts in our trust account at such time, which is generally approximately $10.00.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color w:val="auto"/>
        </w:rPr>
        <w:t>Resources could be wasted in researching acquisitions that are not completed, which could materially and adversely affect subsequent attempts to identify and acquire or merge with another business. If we have not completed our initial business combination within 24 months from the closing of this offering, our public shareholders may only receive their pro rata portion of the funds in the trust account that are available for distribution to public shareholders, and our warrants will expire worthless.</w:t>
      </w:r>
    </w:p>
    <w:p>
      <w:pPr>
        <w:spacing w:after="0" w:line="7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and adversely affect subsequent attempts to identify and acquire or merge with another business. If we have not completed our initial business combination within 24 months from the closing of this offering, our public shareholders may only receive their pro rata portion of the funds in the trust account that are available for distribution to public shareholders, and our warrants will expire worthless.</w:t>
      </w:r>
    </w:p>
    <w:p>
      <w:pPr>
        <w:spacing w:after="0" w:line="29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Our assessment of the management of a target business may be limited, and we may be unable to retain that management following a business combination.</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When evaluating a prospective target business, our assessment of the target business’s management may be limited due to a lack of time, resources or information. Should the target business’s management not possess the skills or qualifications necessary to manage a public company or the acquired business, the operations and profitability of the post-combination business may be negatively impacted.</w:t>
      </w:r>
    </w:p>
    <w:p>
      <w:pPr>
        <w:spacing w:after="0" w:line="176"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Although we would expect to retain some or all members of a target business’s management team following our initial business combination, members of the management of a target business may elect to depart. This could negatively affect the operations and profitability of the post-combination business. As a result of any of the foregoing, any shareholders who choose to remain shareholders following the business combination could suffer a decline in the value of their shares.</w:t>
      </w:r>
    </w:p>
    <w:p>
      <w:pPr>
        <w:spacing w:after="0" w:line="284"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color w:val="auto"/>
        </w:rPr>
        <w:t>Ares may choose not to refer certain opportunities to us due to reputational interests, financial interests, confidentiality concerns, legal, regulatory, tax and any other interests or considerations relevant to Ares, its clients and their respective portfolio companies or because of a potential conflict of interests with AAC.</w:t>
      </w:r>
    </w:p>
    <w:p>
      <w:pPr>
        <w:spacing w:after="0" w:line="6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Ares, together with its affiliates, engages in a broad range of business activities and invests in a broad range of businesses and assets. Ares takes into account interests of its affiliates, funds and each of their respective portfolio companies (including reputational interests, financial interests, confidentiality concerns, legal, regulatory, tax and any other interests or considerations that arise from time to time) when determining whether to pursue (or how to structure) a potential transaction or investment opportunity. As a result, it is possible that Ares may choose not to refer a business opportunity to us or our officers or directors who are affiliated with Ares may choose not to pursue an opportunity notwithstanding that such opportunity would be attractive to us due to the reputational, financial, confidentiality, legal, regulatory, tax and/or other interests or considerations of Ares and its affiliates. Ares may choose to refer certain opportunities to AAC in the interest of meeting AAC’s time mandate for a business combination.</w:t>
      </w:r>
    </w:p>
    <w:p>
      <w:pPr>
        <w:spacing w:after="0" w:line="27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color w:val="auto"/>
        </w:rPr>
        <w:t>We may engage in a business combination with one or more target businesses that have relationships with entities that are affiliated with our sponsor, executive officers, directors or existing holders, which may raise potential conflicts of interest.</w:t>
      </w:r>
    </w:p>
    <w:p>
      <w:pPr>
        <w:spacing w:after="0" w:line="5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light of the involvement of our sponsor, executive officers and directors with other entities, we may decide to acquire one or more businesses affiliated with our sponsor, executive officers, directors or existing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holders. Our directors also serve as officers and board members for other entities, including, without limitation, AAC and those described under “Management—Conflicts of Interest.” Our sponsor, directors and executive officers, Ares, or its affiliates may sponsor, form or participate in other blank check companies similar to ours or may pursue other business or investment ventures during the period in which we are seeking an initial business combination. In addition, funds managed by Ares may have provided debt to companies we pursue and such debt may or may not be paid off in connection with a potential business combination. This can include debt that has been purchased below par but may be required to be repaid at par in connection with such business combination. Although we do not believe that any such potential conflicts would materially affect our ability to complete our initial business combination, any such companies, businesses or investments may present additional conflicts of interest in pursuing an initial business combination and may compete with us for business combination opportunities. Our sponsor, executive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specifically focus on, or target, a transaction with any affiliated entities, we would pursue such a transaction if we determined that such affiliated entity met our criteria for a business combination as set forth in “Proposed Business—Effecting Our Initial Business Combination—Evaluation of a Target Business and Structuring of Our Initial Business Combination” and such transaction was approved by a majority of our independent and disinterested directors. Despite our agreement to obtain an opinion from an independent investment banking firm or an independent accounting firm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shareholders as they would be absent any conflicts of interest.</w:t>
      </w:r>
    </w:p>
    <w:p>
      <w:pPr>
        <w:spacing w:after="0" w:line="297" w:lineRule="exact"/>
        <w:rPr>
          <w:sz w:val="20"/>
          <w:szCs w:val="20"/>
          <w:color w:val="auto"/>
        </w:rPr>
      </w:pPr>
    </w:p>
    <w:p>
      <w:pPr>
        <w:jc w:val="both"/>
        <w:ind w:left="120" w:right="160"/>
        <w:spacing w:after="0" w:line="268" w:lineRule="auto"/>
        <w:rPr>
          <w:sz w:val="20"/>
          <w:szCs w:val="20"/>
          <w:color w:val="auto"/>
        </w:rPr>
      </w:pPr>
      <w:r>
        <w:rPr>
          <w:rFonts w:ascii="Times New Roman" w:cs="Times New Roman" w:eastAsia="Times New Roman" w:hAnsi="Times New Roman"/>
          <w:sz w:val="18"/>
          <w:szCs w:val="18"/>
          <w:b w:val="1"/>
          <w:bCs w:val="1"/>
          <w:color w:val="auto"/>
        </w:rPr>
        <w:t>Our sponsor, executive officers and directors will lose their entire investment in us if our initial business combination is not completed (other than with respect to public shares they may acquire during or after this offering), and conflicts of interest may arise in determining whether a particular business combination target is appropriate for our initial business combination.</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On March 19, 2021, our sponsor paid $25,000 to cover certain of our offering costs in consideration of 25,156,250 Class B ordinary shares, par value $0.0001, which would represent 20% of the outstanding shares upon completion of this offering. Prior to the initial investment in the company of $25,000 by the sponsor, the Company had no assets, tangible or intangible. Up to 3,281,250 founder shares are subject to forfeiture depending on the extent to which the underwriters’ over-allotment option is exercised. The founder shares will be worthless if we do not complete an initial business combination. In addition, our sponsor has committed, pursuant to a written agreement, to purchase an aggregate of 15,000,000 private placement warrants (or 16,750,000 private placement warrants if the underwriters’ over-allotment option is exercised in full), each exercisable to purchase one Class A ordinary share at $11.50 per share, at a price of $1.50 per warrant ($22,500,000 in the aggregate or $25,125,000 if the underwriters’ over-allotment option is exercised in full), in a private placement that will close simultaneously with the closing of this offering. If we do not consummate an initial business within 24 months from the closing of this offering, the private placement warrants will expire worthless. The personal and financial interests of our executive officers and directors may influence them in identifying and selecting a target business combination, completing an initial business combination and operating the business following the initial business combination. This risk may become more acute as the 24-month anniversary of the closing of this offering nears, which is the deadline for our consummation of an initial business combination.</w:t>
      </w:r>
    </w:p>
    <w:p>
      <w:pPr>
        <w:spacing w:after="0" w:line="29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To complete a business combination, we may issue notes or other debt securities or otherwise incur substantial debt, which may adversely affect our leverage and financial condition and negatively impact the value of our shares.</w:t>
      </w:r>
    </w:p>
    <w:p>
      <w:pPr>
        <w:spacing w:after="0" w:line="5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Although we have no commitments as of the date of this prospectus to issue any notes or other debt securities, or to otherwise incur outstanding debt following this offering, we may choose to incur substantial debt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85" w:lineRule="exact"/>
        <w:rPr>
          <w:sz w:val="20"/>
          <w:szCs w:val="20"/>
          <w:color w:val="auto"/>
        </w:rPr>
      </w:pPr>
    </w:p>
    <w:p>
      <w:pPr>
        <w:ind w:left="1080" w:right="5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an initial business combination are insufficient to repay our debt obligations;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Class A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or prevailing interest rates; and</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66"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color w:val="auto"/>
        </w:rPr>
        <w:t>We may only be able to complete one business combination with the proceeds of this offering and the sale of the private placement warrants, which will cause us to be dependent on a single business that may have a limited number of products or services. This lack of diversification may negatively impact our operations and profitability.</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net proceeds from this offering and the private placement of warrants will provide us with up to $846,375,000 (or $973,031,250 if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over-allotment option is exercised in full) that we may use to complete our initial business combination (after taking into account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$30,625,000, or $35,218,750 if the over- allotment option is exercised in full, of deferred underwriting commissions being held in the trust account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estimated expenses of this offering).</w:t>
      </w:r>
    </w:p>
    <w:p>
      <w:pPr>
        <w:spacing w:after="0" w:line="20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The lack of diversification that may result from completing our initial business combination with a single entity may subject us to numerous economic, competitive, geographic and regulatory factors. Further, we would not be able to diversify our operations or benefit from the possible spreading of risks or offsetting of losses, unlike other entities that may have the resources to complete several business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combinations in different industries or different areas of a single industry. Accordingly, the prospects for our success may:</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depend on the performance of a single business, property or asset;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 on the development or market acceptance of a single or limited number of products, processes or services.</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Any of the foregoing risks could have a substantial adverse impact upon the particular industry in which we may operate following our initial business combination.</w:t>
      </w:r>
    </w:p>
    <w:p>
      <w:pPr>
        <w:spacing w:after="0" w:line="266" w:lineRule="exact"/>
        <w:rPr>
          <w:sz w:val="20"/>
          <w:szCs w:val="20"/>
          <w:color w:val="auto"/>
        </w:rPr>
      </w:pPr>
    </w:p>
    <w:p>
      <w:pPr>
        <w:ind w:left="120" w:right="20"/>
        <w:spacing w:after="0" w:line="317" w:lineRule="auto"/>
        <w:rPr>
          <w:sz w:val="20"/>
          <w:szCs w:val="20"/>
          <w:color w:val="auto"/>
        </w:rPr>
      </w:pPr>
      <w:r>
        <w:rPr>
          <w:rFonts w:ascii="Times New Roman" w:cs="Times New Roman" w:eastAsia="Times New Roman" w:hAnsi="Times New Roman"/>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2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determine to simultaneously acquire several businesses that are owned by different sellers, we will need each of such sellers to agree that our purchase of its business is contingent on the simultaneous closings of the other business combinations, which may make it more difficult for us to complete our initial business combination timely or at all.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291"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We may attempt to complete our initial business combination with a private company about which little information is available, which may result in a business combination with a company that is not as profitable or attractive as the limited information may have indicated.</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pursuing our acquisition strategy, we may seek to effectuate our initial business combination with a privately held company. By definition,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or attractive as the limited information may have indicated.</w:t>
      </w:r>
    </w:p>
    <w:p>
      <w:pPr>
        <w:spacing w:after="0" w:line="284"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color w:val="auto"/>
        </w:rPr>
        <w:t>Our directors and executive officers may not be able to maintain control of a target business after our initial business combination. Upon the loss of control of a target business, new management may not possess the skills, qualifications or abilities necessary to profitably operate such business.</w:t>
      </w:r>
    </w:p>
    <w:p>
      <w:pPr>
        <w:spacing w:after="0" w:line="67"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We may structure our initial business combination so that the post-business combination company in which our public shareholders own shares will own less than 100% of the equity interests or assets of a target business, but we will only complete such business combination if the post-business combination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post-business combination company owns 50% or more of the voting securities of the target, our shareholders prior to our initial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shares or other equity interests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company’s shares than we initially acquired. Accordingly, our directors and executive officers may be unable to maintain control of the acquired business.</w:t>
      </w:r>
    </w:p>
    <w:p>
      <w:pPr>
        <w:spacing w:after="0" w:line="266"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auto"/>
        </w:rPr>
        <w:t>With the relatively large amount of proceeds we expect to receive from this offering, we may be more likely to seek business combination opportunities with a high degree of complexity that require significant operational improvements, which could delay or prevent us from achieving our desired results. In addition, such opportunities may present material deal execution risk and have higher pursuit, due diligence and execution costs.</w:t>
      </w:r>
    </w:p>
    <w:p>
      <w:pPr>
        <w:spacing w:after="0" w:line="7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With the relatively large amount of proceeds we expect to receive from this offering, we may be more likely to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 In addition, pursuing such complex opportunities may present material deal execution risk and have higher pursuit, due diligence and execution costs, which could inhibit or delay our ability to close such transactions.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directors and executive officers will endeavor to evaluate the risks inherent in a particular target business and its operations, we may not be able to fully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we may be unable to control or reduce the chances that those risks and complexities will adversely impact a target business. Such combination may not be as successful as a combination with a smaller, less complex organization.</w:t>
      </w:r>
    </w:p>
    <w:p>
      <w:pPr>
        <w:spacing w:after="0" w:line="296"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not provide a specified maximum redemption threshold, except that in no event will we redeem our public shares in an amount that would cause our net tangible assets to be less than $5,000,001 (such that we are not subject to the SEC’s “penny stock” rules). As a result, we may be able to complete our initial business combination even though a substantial majority of our public shareholders do not agree with the transaction and have required us to redeem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seek an alternate business combination.</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40"/>
          </w:cols>
          <w:pgMar w:left="320" w:top="455" w:right="5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To effectuate an initial business combination, blank check companies have amended various provisions of their charters and other governing instruments, including their warrant agreements. We may seek to amend our amended and restated memorandum and articles of association or governing instruments in a manner that will make it easier for us to complete our initial business combination that some of our shareholders may not support.</w:t>
      </w:r>
    </w:p>
    <w:p>
      <w:pPr>
        <w:spacing w:after="0" w:line="7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To effectuate a business combination, blank check companies have, in the recent past, amended various provisions of their charters and governing instruments, including their warrant agreements. For example, blank check companies have amended the definition of business combination, increased redemption thresholds, changed industry focus and, with respect to their warrants, amended their warrant agreements to require the warrants to be exchanged for cash or other securities. Amending our amended and restated memorandum and articles of association will require at least a special resolution of our shareholders as a matter of Cayman Islands law, meaning the approval of holders of at least two-thirds of our ordinary shares who attend and vote at a shareholder meeting of the company,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then-outstanding private placement warrants. In addition, our amended and restated memorandum and articles of association will require us to provide our public shareholders with the opportunity to have their public shares redeemed for cash if we propose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To the extent any of such amendments would be deemed to fundamentally change the nature of any of the securities offered through this registration statement, we would register, or seek an exemption from registration for, the affected securities. We may seek to amend our amended and restated memorandum and articles of association or governing instruments or extend the time to consummate an initial business combination to effectuate our initial business combination.</w:t>
      </w:r>
    </w:p>
    <w:p>
      <w:pPr>
        <w:spacing w:after="0" w:line="283"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a special resolution which requires the approval of the holders of at least two-thirds our ordinary shares who attend and vote at a shareholder meeting of the company, which is a lower amendment threshold than that of some other blank check companies. It may be easier for us, therefore, to amend our amended and restated memorandum and articles of association to facilitate the completion of an initial business combination that some of our shareholders may not support.</w:t>
      </w:r>
    </w:p>
    <w:p>
      <w:pPr>
        <w:spacing w:after="0" w:line="7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Some blank check companies have a provision in their charters that prohibits the amendment of certain of its provisions, including those relating to a company’s pre-business combination activity, without approval by a certain percentage of the company’s shareholders. In those companies, amendment of these provisions typically requires approval by between 90% and 100% of the company’s shareholders. Our amended and restated memorandum and articles of association will provide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shareholder meeting of the company, and corresponding provisions of the trust agreement governing the release of funds from our trust account may be amended if approved by holders of at least 65% of our ordinary shares;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provisions of our amended and restated memorandum and articles of association governing the appointment or removal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our initial business combination may only be amended by a special resolution passed by not less than two-thirds of our ordinary shares who attend and vote at our shareholder meeting which</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shall include the affirmative vote of a simple majority of our Class B ordinary shares. Our sponsor and its permitted transferees, if any, who will collectively beneficially own, on an as-converted basis, 20% of our ordinary shares upon the closing of this offering (assuming they do not purchase any units in this offering), will participate in any vote to amend our amended and restated memorandum and articles of association 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Our sponsor, executive officers, directors and director nominees have agreed, pursuant to agreements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unless we provide our public shareholders with the opportunity to have their Class A ordinary shares redeemed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Our shareholders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shareholders would need to pursue a shareholder derivative action, subject to applicable law.</w:t>
      </w:r>
    </w:p>
    <w:p>
      <w:pPr>
        <w:spacing w:after="0" w:line="296"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have not completed our initial business combination within 24 months from the closing of this offering, our public shareholders may only receive their pro rata portion of the funds in the trust account that are available for distribution to public shareholders, and our warrants will expire worthless.</w:t>
      </w:r>
    </w:p>
    <w:p>
      <w:pPr>
        <w:spacing w:after="0" w:line="7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Although we believe that the net proceeds of this offering and the sale of the private placement warrants will be sufficient to allow us to complete our initial business combination, because we have not yet selected any prospective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The current economic environment may make it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have not completed our initial business combination within 24 months from the closing of this offering, our public shareholders may only receive their pro rata portion of the funds in the trust account that are available for distribution to public shareholders and not previously released to us to pay our income taxes,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target business. None of our officers, directors or shareholders is required to provide any financing to us in connection with or after our initial business combination.</w:t>
      </w:r>
    </w:p>
    <w:p>
      <w:pPr>
        <w:spacing w:after="0" w:line="266"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federal proxy rules require that a proxy statement with respect to a vote on a business combination meeting certain financial significance tests include historical 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generally accepted accounting principles (“GAAP”) in the United States of America, or international financial reporting standards (“IFRS”) as issued by the International Accounting Standards Board, depending on the circumstances and the historical financial statements may be required to be audited in accordance with the standards of the Public Company Accounting Oversight Board (“PCAOB”) in the United States).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w:t>
      </w:r>
    </w:p>
    <w:p>
      <w:pPr>
        <w:spacing w:after="0" w:line="292"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296"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6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67" w:lineRule="exact"/>
        <w:rPr>
          <w:sz w:val="20"/>
          <w:szCs w:val="20"/>
          <w:color w:val="auto"/>
        </w:rPr>
      </w:pPr>
    </w:p>
    <w:p>
      <w:pPr>
        <w:ind w:left="5540" w:right="4520" w:hanging="4884"/>
        <w:spacing w:after="0" w:line="454" w:lineRule="auto"/>
        <w:tabs>
          <w:tab w:leader="none" w:pos="10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inherent in managing cross-border business operations; 55</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regarding currency redemption;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corporate withholding taxes on individuals;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the manner in which future business combinations may be effected;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listing or delisting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or regional economic policies and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managing and staffing international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and variations in tax laws as compared to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exchange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inflation;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underdeveloped or unpredictable legal or regulatory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crime, strikes, riots and civil disturbances;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regime changes and political upheaval;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and wars;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with the United States.</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28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economic, political and social conditions, as well as government policies and catastrophic events such as fires, floods, earthquakes, tornadoes, hurricanes and pandemics,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As the number of special purpose acquisition companies evaluating targets (including special purpose acquisition companies sponsored by affiliates of Ares (including AAC))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7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preparing for an initial public offering, as well as many such companies currently in registration. As a result, at times, fewer attractive targets may be available to consummate an initial business combination.</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addition, because there are more special purpose acquisition companies (including special purpose acquisition companies sponsored by affiliates of Ares (including AAC))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rate fluctuations and currency policies may cause a target business’ ability to succeed in the international markets to be diminished.</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293"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b w:val="1"/>
          <w:bCs w:val="1"/>
          <w:color w:val="auto"/>
        </w:rPr>
        <w:t>We may engage one or more of our underwriters or one of their respective affiliates to provide additional services to us after this offering, which may include acting as financial advisor in connection with an initial business combination or as placement agent in connection with a related financing transaction. Our underwriters are entitled to receive deferred commissions that will released from the trust only on a completion of an initial business combination. These financial incentives may cause them to have potential conflicts of interest in rendering any such additional services to us after this offering, including, for example, in connection with the sourcing and consummation of an initial business combination.</w:t>
      </w:r>
    </w:p>
    <w:p>
      <w:pPr>
        <w:spacing w:after="0" w:line="7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may engage one or more of our underwriters or one of their respective affiliates to provide additional services to us after this offering, including, for example, identifying potential targets, providing financial advisory services, acting as a placement agent in a private offering or arranging debt financing. We may pay such underwriter or its affiliate fair and reasonable fees or other compensation that would be determined at that time in an arm’s length negotiation; provided that no agreement will be entered into with any of the underwriters or their respective affiliates and no fees or other compensation for such services will be paid to any of the underwriters or their respective affiliates prior to the date that is 60 days from the date of this prospectus, unless FINRA determines that such payment would not be deemed underwriters’ compensation in connection with this offering. The underwriters are also entitled to receive deferred commissions that are conditioned on the completion of an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initial business combination. The underwriters’ or their respective affiliates’ financial interests tied to the consummation of a business combination transaction may give rise to potential conflicts of interest in providing any such additional services to us, including potential conflicts of interest in connection with the sourcing and consummation of an initial business combination.</w:t>
      </w:r>
    </w:p>
    <w:p>
      <w:pPr>
        <w:spacing w:after="0" w:line="280" w:lineRule="exact"/>
        <w:rPr>
          <w:sz w:val="20"/>
          <w:szCs w:val="20"/>
          <w:color w:val="auto"/>
        </w:rPr>
      </w:pPr>
    </w:p>
    <w:p>
      <w:pPr>
        <w:jc w:val="both"/>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6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291"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color w:val="auto"/>
        </w:rPr>
        <w:t>Changes in the market for directors and officers liability insurance could make it more difficult and more expensive for us to negotiate and complete an initial business combination.</w:t>
      </w:r>
    </w:p>
    <w:p>
      <w:pPr>
        <w:spacing w:after="0" w:line="51"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In recent months, 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 generally increased and the terms of such policies have generally become less favorable. These trends may continue into the future.</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Management Team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are dependent upon our executive officers and directors and their loss could adversely affect our ability to operate.</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operations are dependent upon a relatively small group of individuals and, in particular, our executive officers and directors. We believe that our success depends on the continued service of our officers and directors, who are employed by an affiliate of our sponsor,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Moreover, our officers and directors including, our chief executive officer, David B. Kaplan are and in the future will be required to commit time and attention to Ares, AAC and current and future Ares funds, To the extent any conflict of interest arises between, on the one hand, us and, on the other hand, any of such entities (including, without limitation, arising as a result of certain of officers and directors being required to offer acquisition opportunities to such entities), Ares and its affiliated funds will resolve such conflicts of interest in their sole discretion in accordance with their then existing fiduciary, contractual and other duties and there can be no assurance that such conflict of interest will be resolved in our favor. We do not have an employment agreement with, or key-man insurance on the life of, any of our directors or executive officers.</w:t>
      </w:r>
    </w:p>
    <w:p>
      <w:pPr>
        <w:spacing w:after="0" w:line="192" w:lineRule="exact"/>
        <w:rPr>
          <w:sz w:val="20"/>
          <w:szCs w:val="20"/>
          <w:color w:val="auto"/>
        </w:rPr>
      </w:pPr>
    </w:p>
    <w:p>
      <w:pPr>
        <w:jc w:val="both"/>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In addition, if any of our executive officers ceased to be employed by an affiliate of our sponsor, such individual may also no longer serve as one of our executive officers. The unexpected loss of the services of one or more of our directors or executive officers could have a detrimental effect on us.</w:t>
      </w:r>
    </w:p>
    <w:p>
      <w:pPr>
        <w:spacing w:after="0" w:line="244" w:lineRule="exact"/>
        <w:rPr>
          <w:sz w:val="20"/>
          <w:szCs w:val="20"/>
          <w:color w:val="auto"/>
        </w:rPr>
      </w:pPr>
    </w:p>
    <w:p>
      <w:pPr>
        <w:jc w:val="both"/>
        <w:ind w:left="120" w:right="420"/>
        <w:spacing w:after="0" w:line="268" w:lineRule="auto"/>
        <w:rPr>
          <w:sz w:val="20"/>
          <w:szCs w:val="20"/>
          <w:color w:val="auto"/>
        </w:rPr>
      </w:pPr>
      <w:r>
        <w:rPr>
          <w:rFonts w:ascii="Times New Roman" w:cs="Times New Roman" w:eastAsia="Times New Roman" w:hAnsi="Times New Roman"/>
          <w:sz w:val="18"/>
          <w:szCs w:val="18"/>
          <w:b w:val="1"/>
          <w:bCs w:val="1"/>
          <w:color w:val="auto"/>
        </w:rPr>
        <w:t>Our ability to effectuate our initial business combination and to successfully operate thereafter will depend on our key personnel, some of whom may join us following our initial business combination. The loss of, or inability to attract, key personnel could negatively impact the operations and profitability of our post-combination business.</w:t>
      </w:r>
    </w:p>
    <w:p>
      <w:pPr>
        <w:spacing w:after="0" w:line="6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ability to effectuate our initial business combination depends on the diligence, skill, judgment, business contacts and personal reputations of our key personnel. Our future success will depend upon our ability to retain our current key personnel and to recruit additional qualified personnel. If any of our key personnel join competitors or from competing companies, we may be unable to complete our initial business combination. We do not carry any “key person” insurance that would provide us with proceeds in the event of the death or disability of any of our key personnel.</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it will be necessary for us to add key personnel to complete our initial business combination or operate our post-combination business. However, the market for qualified professionals is extremely competitive and we may not succeed in recruiting additional personnel or we may fail to effectively replace current personnel who depart with qualified or effective successors.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failure to appropriately address conflicts of interest could adversely affect our business and reputation.</w:t>
      </w:r>
    </w:p>
    <w:p>
      <w:pPr>
        <w:spacing w:after="0" w:line="12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Following the completion of this offering and until we consummate our initial business combination, we will seek to identify and combine with one or more businesses. Certain of our officers and directors have, and any of them in the future may have, additional fiduciary or contractual obligations to other entities pursuant to which they are or will be required to present a business combination opportunity to such entity, subject to their fiduciary duties under Cayman Islands law. In particular, an affiliate of Ares formed, and such affiliate, Mr. Kaplan, Mr. Arougheti, Mr. Phillips, Ms. Satin and Mr. Ogilvie are actively engaged in, AAC, a special purpose acquisition company that completed its initial public offering in February 2021. AAC, like us, may pursue initial business combination targets in any businesses or industries and has until February 2023 to do so (which date may be extended under certain circumstances). In addition, certain of our officers and directors are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also officers, managers or directors of Ares and certain of its affiliated funds and investment vehicles, and certain of their current or former portfolio companies. Some of these entities have limited partners or public equity holders to whom these individuals owe fiduciary duties. Accordingly, conflicts of interest may arise in determining the allocation of specific investment opportunities among Ares, its funds and investment vehicles, and us and the allocation of fees and costs among these entities. These conflicts may not be resolved in our favor and a potential target business may be presented to another entity prior to its presentation to us, subject to their fiduciary duties under Cayman Islands law.</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our directors and officers or Ares or its affiliates may in the future become affiliated with other blank check companies that may have acquisition objectives that are similar to ours. Accordingly, conflicts of interest may arise in determining the allocation of specific investment opportunities to any such companies and us and the allocation of fees and costs among these entities. These conflicts may not be resolved in our favor and a potential target business may be presented to such other blank check companies prior to its presentation to us, subject to our officers’ and directors’ fiduciary duties under Cayman Islands law.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 Any such companies, including AAC, may present additional conflicts of interest in pursuing an acquisition target, particularly if there is overlap among investment mandates and the board and management teams.</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Though we believe we and Ares have appropriate means and oversight to resolve the foregoing conflicts, our judgment on any particular decision could be challenged. If we fail to appropriately address any such conflicts, it could negatively impact our reputation and ability to raise additional funds and the willingness of counterparties to do business with us or result in potential litigation against us.</w:t>
      </w:r>
    </w:p>
    <w:p>
      <w:pPr>
        <w:spacing w:after="0" w:line="17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our executive officers’ and directors’ business affiliations and the potential conflicts of interest that you should be aware of, please see “Management—Officers, Directors and Director Nominees,” “Management—Conflicts of Interest” and “Certain Relationships and Related Party Transactions.”</w:t>
      </w:r>
    </w:p>
    <w:p>
      <w:pPr>
        <w:spacing w:after="0" w:line="280" w:lineRule="exact"/>
        <w:rPr>
          <w:sz w:val="20"/>
          <w:szCs w:val="20"/>
          <w:color w:val="auto"/>
        </w:rPr>
      </w:pPr>
    </w:p>
    <w:p>
      <w:pPr>
        <w:jc w:val="both"/>
        <w:ind w:left="120" w:right="100"/>
        <w:spacing w:after="0" w:line="286" w:lineRule="auto"/>
        <w:rPr>
          <w:sz w:val="20"/>
          <w:szCs w:val="20"/>
          <w:color w:val="auto"/>
        </w:rPr>
      </w:pPr>
      <w:r>
        <w:rPr>
          <w:rFonts w:ascii="Times New Roman" w:cs="Times New Roman" w:eastAsia="Times New Roman" w:hAnsi="Times New Roman"/>
          <w:sz w:val="18"/>
          <w:szCs w:val="18"/>
          <w:b w:val="1"/>
          <w:bCs w:val="1"/>
          <w:color w:val="auto"/>
        </w:rPr>
        <w:t>Our executive officers and directors will allocate their time to other businesses, which could have a negative impact on our ability to complete our initial business combination.</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executive officers and directors are not required to, and will not, commit their full professional time to our affairs, which may result in conflicts of interest in allocating their time between our operations and identifying a potential acquisition target and their other professional responsibilities. We do not intend to have any full-time employees prior to the completion of our initial business combination. Each of our executive officers is engaged in several other business endeavors for which he or she may be entitled to substantial compensation, and our executive officers are not obligated to contribute any specific number of hours per week to our affairs. Our Chief Executive Officer, Chief Financial Officer, Chief Operating Officer and Executive Vice President of Strategy serve in those roles for AAC. Our independent directors may also serve as officers or board members for other entities. Our independent directors also serve as, and may in the future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“Management—Officers, Directors and Director Nominees.”</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40"/>
          </w:cols>
          <w:pgMar w:left="320" w:top="455" w:right="5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color w:val="auto"/>
        </w:rPr>
        <w:t>Certain of our officers and directors have or will have direct and indirect economic interests in us and/or our sponsor after the consummation of this offering and such interests may potentially conflict with those of our public shareholders as we evaluate and decide whether to recommend a potential business combination to our public shareholders.</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of our officers and directors may own membership interests in our sponsor and indirect interests in our Class B ordinary shares and private placement warrants which may result in interests that differ from the economic interests of the investors in this offering, which includes making a determination of whether a particular target business is an appropriate business with which to effectuate our initial business combination. There may be a potential conflict of interest between our officers and directors that hold membership interests in our sponsor and our public shareholders that may not be resolved in favor of our public shareholders. See “Management—Conflicts of Interest.”</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executive officers, directors, security holders and their respective affiliates may have competitive pecuniary interests that conflict with our interests.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Although it is not our intention, we may enter into a business combination with a target business that is affiliated with our sponsor, or one or more of our directors or executive officers or in which they have a direct or indirect pecuniary or financial interest.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personal and financial interests of our directors and officers may influence them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This could give rise to claim by us or our shareholders for a breach of their fiduciary duties to us as a matter of Cayman Islands law. See the section titled “Description of Securities—Certain Differences in Corporate Law—Shareholders’ Suits” for further information on the ability to bring such claims. However, we may not ultimately be successful in any claim we may make against them.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Compliance with United States securities laws may require additional time and resources.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Following our initial business combination, our directors and executive officers may resign from their positions as officers or directors of the company and the management of the target business at the time of the business combination may remain in place. Management of the target business may not be familiar with United States securities laws, compliance with which may place a strain on our systems and resources. If our directors and executive officers are not able to develop the necessary expertise, procedures and processes, we may be unable to report our financial information on a timely or accurate basis, which could subject us to adverse regulatory consequences, including sanctions by the Commission or violations of applicable NYSE listing rules. There could also be a negative reaction in the financial markets due to a loss of investor confidence in us and the reliability of our financial statements. Confidence in the reliability of our financial statements could also suffer if our independent registered public accounting firm were to report a material weakness in our internal controls over financial reporting. This could have a material adverse effect on us and lead to a decline in the price of our securities.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auto"/>
        </w:rPr>
        <w:t>Members of our management team and board of directors have significant experience as founders, board members, officers or executives of other companies. As a result, certain of those persons have been, may be, or may become, involved in proceedings, investigations and litigation relating to the business affairs of the companies with which they were, are, or may in the future be, affiliated. This may have an adverse effect on us, which may impede our ability to consummate an initial business combination.</w:t>
      </w:r>
    </w:p>
    <w:p>
      <w:pPr>
        <w:spacing w:after="0" w:line="7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During the course of their careers, members of our management team and board of directors have had significant experience as founders, board members, officers or executives of other companies. As a result of their involvement and positions in these companies, certain persons were, are now, or may in the future become, involved in litigation, investigations or other proceedings relating to the business affairs of such companies or transactions entered into by such companies. Any such litigation, investigations or other proceedings may divert our management team’s and directors’ attention and resources away from identifying and selecting a target business or businesses for our initial business combination and may negatively affect our reputation, which may impede our ability to complete an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Ownership of Our Securities</w:t>
      </w:r>
    </w:p>
    <w:p>
      <w:pPr>
        <w:spacing w:after="0" w:line="11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5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Our public shareholders will be entitled to receive funds from the trust account only upon the earlier of: (i) our completion of an initial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or (B) with respect to any other provisions relating to the rights of our Class A ordinary shares, and (iii) the redemption of our public shares if we have not consummated an initial business within 24 months from the closing of this offering, subject to applicable law and as further described herein. Public shareholders who elect to have their Class A ordinary shares redeemed in connection with a shareholder vote described in clause (ii) in the preceding sentence shall not be entitled to funds from the trust account upon the subsequent completion of an initial business combination or liquidation if we have not completed an initial business combination within 24 months from the closing of this offering, with respect to such Class A ordinary shares so redeemed.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28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NYSE may delist our securities from trading on its exchange, which could limit investors’ ability to make transactions in our securities and subject us to additional trading restrictions.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intend to apply to have our units listed on the NYSE on the date of this prospectus and to have our Class A ordinary shares and warrants on or promptly after their date of separation. Although after giving effect to this offering we expect to meet, on a pro forma basis, the minimum initial listing standards set forth in the NYSE listing standards, we cannot assure you that our securities will be, or will continue to be, listed on the NYSE in the future or prior to our initial business combination. To continue listing our securities on the NYSE prior to our initial business combination, we must maintain certain financial, distribution and share price levels. Generally, we must maintain a minimum market capitalization (generally $50,000,000) and a minimum number of holders of our securities (generally 300 public holders).</w:t>
      </w:r>
    </w:p>
    <w:p>
      <w:pPr>
        <w:spacing w:after="0" w:line="187"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Additionally, our units will not be traded after completion of our initial business combination and, in connection with our initial business combination, we will be required to demonstrate compliance with the NYSE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initial listing requirements, which are more rigorous than the NYSE continued listing requirements, to continue to maintain the listing of our securities on the NYSE.</w:t>
      </w:r>
    </w:p>
    <w:p>
      <w:pPr>
        <w:spacing w:after="0" w:line="16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For instance, for our shares to be listed upon the consummation of our business combination, at such time our share price would generally be required to be at least $4.00 per share, our total market capitalization would be required to be at least $200.0 million, the aggregate market value of publicly held shares would be required to be at least $100.0 million and we would be required to have at least 400 round lot shareholders. We cannot assure you that we will be able to meet those listing requirements at that time.</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NYSE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312" w:lineRule="auto"/>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the NYSE, our units, Class A ordinary shares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the statute and we would be subject to regulation in each state in which we offer our securities.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You will not be entitled to protections normally afforded to investors of many other blank check companies.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Business—Comparison of This Offering to Those of Blank Check Companies Subject to Rule 419.”</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5"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sponsor paid a nominal price for the founder shares, and, accordingly, you will experience immediate and substantial dilution from the purchase of our Class A ordinary shares.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(allocating all of the unit purchase price to the Class A ordinary share and none to the warrant included in the unit) and the pro forma net tangible book value per Class A ordinary share after this offering constitutes the dilution to you and the other investors in this offering. Our sponsor acquired the founder shares at a nominal price, significantly contributing to this dilution. As a result of various transactions, our sponsor (together with its permitted transferees) currently holds an aggregate of 25,156,250 Class B ordinary shares, which would represent 20% of the outstanding shares upon completion of this offering. Upon closing of this offering, and assuming no value is ascribed to the warrants included in the units, you and the other public shareholders will incur an immediate and substantial dilution of approximately 134.8% (or $13.48 per share, assuming no exercise of the underwriters’ over-allotment option), the difference between the pro forma net tangible book value per share of $(3.48)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w:t>
      </w:r>
    </w:p>
    <w:p>
      <w:pPr>
        <w:spacing w:after="0" w:line="294"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color w:val="auto"/>
        </w:rPr>
        <w:t>We may amend the terms of the warrants in a manner that may be adverse to holders of public warrants with the approval by the holders of at least 50% of the then-outstanding public warrants. As a result, the exercise price of your warrants could be increased, the exercise period could be shortened and the number of our Class A ordinary shares purchasable upon exercise of a warrant could be decreased, all without your approval.</w:t>
      </w:r>
    </w:p>
    <w:p>
      <w:pPr>
        <w:spacing w:after="0" w:line="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warrant agreement with respect to the private placement warrants,</w:t>
      </w:r>
    </w:p>
    <w:p>
      <w:pPr>
        <w:spacing w:after="0" w:line="5"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50% of the number of the then-outstanding private placement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Class A ordinary shares purchasable upon exercise of a warrant.</w:t>
      </w:r>
    </w:p>
    <w:p>
      <w:pPr>
        <w:spacing w:after="0" w:line="293"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6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w:t>
      </w:r>
    </w:p>
    <w:p>
      <w:pPr>
        <w:spacing w:after="0" w:line="2" w:lineRule="exact"/>
        <w:rPr>
          <w:sz w:val="20"/>
          <w:szCs w:val="20"/>
          <w:color w:val="auto"/>
        </w:rPr>
      </w:pPr>
    </w:p>
    <w:p>
      <w:pPr>
        <w:ind w:left="120" w:right="480" w:hanging="4"/>
        <w:spacing w:after="0" w:line="260" w:lineRule="auto"/>
        <w:tabs>
          <w:tab w:leader="none" w:pos="3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service of process made upon such warrant holder in any such enforcement action by service upon such warrant holder’s counsel in the foreign action as agent for such warrant holder.</w:t>
      </w:r>
    </w:p>
    <w:p>
      <w:pPr>
        <w:spacing w:after="0" w:line="1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87"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We may redeem your unexpired warrants prior to their exercise at a time that is disadvantageous to you, thereby making your warrants worthless.</w:t>
      </w:r>
    </w:p>
    <w:p>
      <w:pPr>
        <w:spacing w:after="0" w:line="51"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We have the ability to redeem outstanding warrants at any time after they become exercisable and prior to their expiration, at a price of $0.01 per warrant,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closing price of our Class A ordinary shares equals or exceeds $18.00 per share (as adjusted for adjustments to the number of shares issuable upon exercise or the exercise price of a warrant as described under the heading “Description of Securities—Warrants—Public Shareholders’ Warrants—Anti-Dilution Adjustments”) for any 20 trading days within a 30 trading-day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could force you to (i) exercise your warrants and pay the exercise price therefor at a time when it may be disadvantageous for you to do so,</w:t>
      </w:r>
    </w:p>
    <w:p>
      <w:pPr>
        <w:ind w:left="120" w:right="20" w:hanging="4"/>
        <w:spacing w:after="0" w:line="253" w:lineRule="auto"/>
        <w:tabs>
          <w:tab w:leader="none" w:pos="3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Except as otherwise set forth herein, none of the private placement warrants will be redeemable by us (except as described below under “Description of Securities —Warrants—Public Shareholders’ Warrants—Redemption of warrants when the price per Class A ordinary share equals or exceeds $10.00”) so long as they are held by our sponsor or its permitted transferees.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we have the ability to redeem the outstanding public warrants at any time after they become exercisable and prior to their expiration, at a price of $0.10 per warrant upon a minimum of 30 days’ prior written notice of redemption, provided that (a) the closing price of our Class A ordinary shares equals or exceeds $10.00 per share (as adjusted for adjustments to the number of shares issuable upon exercise or the exercise price of a warrant as described under the heading “Description of Securities—Warrants—Public Shareholders’ Warrants—Anti-Dilution Adjustments”) for any 20 trading days within a 30 trading-day period ending on the third trading day prior to proper notice of such redemption and (b) certain other conditions are met, including that holders will be able to exercise their warrants prior to redemption for a number of Class A ordinary shares determined based on the redemption date and the fair market value of our Class A ordinary shares. Please see “Description of Securities—Warrants—Public Shareholders’ Warrants—Redemption of warrants when the price per Class A</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ordinary share equals or exceeds $10.00.”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ordinary shares received is capped at 0.361 Class A ordinary shares per warrant (subject to adjustment) irrespective of the remaining life of the warrants.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None of the private placement warrants will be redeemable by us as (except as set forth under “Description of Securities—Warrants—Public Shareholders’ Warrants—Redemption of warrants when the price per Class A ordinary share equals or exceeds $10.00”) so long as they are held by our sponsor or its permitted transferees.</w:t>
      </w:r>
    </w:p>
    <w:p>
      <w:pPr>
        <w:spacing w:after="0" w:line="28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warrants may have an adverse effect on the market price of our Class A ordinary shares and make it more difficult to effectuate our initial business combination.</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will be issuing warrants to purchase 17,500,000 of our Class A ordinary shares (or up to 20,125,000 Class A ordinary shares if the underwriters’ over-allotment option is exercised in full) as part of the units offered by this prospectus and, simultaneously with the closing of this offering, we will be issuing in a private placement an aggregate of 15,000,000 private placement warrants (or 16,750,000 private placement warrants if the underwriters’ over-allotment option is exercised in full), each exercisable to purchase one Class A ordinary share at $11.50 per share, subject to adjustment. In addition, if our sponsor makes any working capital loans, it may convert up to $2,000,000 of such loans into up to an additional 1,333,333 private placement warrants, at the price of $1.50 per warrant.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also issue Class A ordinary shares in connection with our redemption of our warrants.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we issue ordinary shares for any reason, including to effectuate a business combination,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Because each unit contains one-fifth of one warrant and only a whole warrant may be exercised, the units may be worth less than units of other blank check companies.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Each unit contains one-fifth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similar offerings whose units include one ordinary share and one warrant to purchase one whole share. We have established the components of the units in this way to reduce the dilutive effect of the warrants upon completion of a business combination since the warrants will be exercisable in the aggregate for one fifth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provision of our warrant agreement may make it more difficult for us to consummate an initial business combination.</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Unlike most blank check companies, if (i) we issue additional Class A ordinary shares or equity-linked securities for capital raising purposes in connection with the closing of our initial business combination at a Newly Issued Price of less than $9.20 per ordinary share, (ii) the aggregate gross proceeds from such issuances represent more than 60% of the total equity proceeds, and interest thereon, available for the funding of our initial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business combination on the date of the consummation of our initial business combination (net of redemptions), and (iii) the Market Value is below $9.20 per share, then the exercise price of the warrants will be adjusted to be equal to 115% of the higher of the Market Value and the Newly Issued Price, and the $18.00 per share redemption trigger prices described below under “Description of Securities—Warrants—Public Shareholders’ Warrants —Redemption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described below under “Description of Securities—Warrants—Public Shareholders’ Warrants—Redemption of warrants when the price per Class A ordinary share equals or exceeds $10.00” will be adjusted (to the nearest cent) to be equal to the higher of the Market Value and the Newly Issued Price. This may make it more difficult for us to consummate an initial business combination with a target business.</w:t>
      </w:r>
    </w:p>
    <w:p>
      <w:pPr>
        <w:spacing w:after="0" w:line="292"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our directors and executive officers held customary organizational meetings with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ordinary shares and warrants underlying the units, include:</w:t>
      </w:r>
    </w:p>
    <w:p>
      <w:pPr>
        <w:spacing w:after="0" w:line="89"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debt to equity ratios in leveraged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directors and executive officers and their experience in identifying operating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this offering;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26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There is currently no market for our securities and a market for our securities may not develop, which would adversely affect the liquidity and price of our securities.</w:t>
      </w:r>
    </w:p>
    <w:p>
      <w:pPr>
        <w:spacing w:after="0" w:line="5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60"/>
          </w:cols>
          <w:pgMar w:left="320" w:top="455" w:right="5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sponsor controls a substantial interest in us and thus may exert a substantial influence on actions requiring a shareholder vote, potentially in a manner that you do not support.</w:t>
      </w:r>
    </w:p>
    <w:p>
      <w:pPr>
        <w:spacing w:after="0" w:line="5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Upon closing of this offering, our sponsor will (together with its permitted transferees) own, on an as-converted basis, 20% of our issued and outstanding ordinary shares (assuming it does not purchase any units in this offering). Accordingly, it may exert a substantial influence on actions requiring a shareholder vote, potentially in a manner that you do not support, including amendments to our amended and restated memorandum and articles of association. If our sponsor purchases any units in this offering or if our sponsor purchases any additional Class A ordinary shares in the aftermarket or in privately negotiated transactions, this would increase its control. Neither our sponsor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elected by our sponsor, is and will be divided into three classes, each of which will generally serve for a terms for three years with only one class of directors being elected in each year. We may not hold an annual shareholder meeting to elect new directors prior to the completion of our initial business combination, in which case all of the current directors will continue in office until at least the completion of the business combination. If there is an annual shareholder meeting, as a consequence of our “staggered” board of directors, only a minority of the board of directors will be considered for election and our sponsor, will control the outcome. In addition, prior to the completion of an initial business combination, holders of a majority of our founder shares may remove a member of the board of directors for any reason. Accordingly, our sponsor will continue to exert control at least until the completion of our initial business combination.</w:t>
      </w:r>
    </w:p>
    <w:p>
      <w:pPr>
        <w:spacing w:after="0" w:line="301"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5"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280" w:lineRule="exact"/>
        <w:rPr>
          <w:sz w:val="20"/>
          <w:szCs w:val="20"/>
          <w:color w:val="auto"/>
        </w:rPr>
      </w:pPr>
    </w:p>
    <w:p>
      <w:pPr>
        <w:jc w:val="both"/>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5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corporate affairs will be governed by our amended and restated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9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our directors and executive officers, members of the board of directors or controlling shareholders than they would as public shareholders of a United States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amended and restated memorandum and articles of association may inhibit a takeover of us, which could limit the price investors might be willing to pay in the future for our Class A ordinary shares and could entrench our directors.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contain provisions that may discourage unsolicited takeover proposals that shareholders may consider to be in their best interests. These provisions will include a staggered board of directors, the ability of the board of directors to designate the terms of and issue new series of preference shares, and the fact that prior to the completion of our initial business combination only holders of our Class B ordinary shares, which have been issued to our sponsor, are entitled to vote on the election of directors, which may make more difficult the removal of our directors and may discourage transactions that otherwise could involve payment of a premium over prevailing market prices for our securities.</w:t>
      </w:r>
    </w:p>
    <w:p>
      <w:pPr>
        <w:spacing w:after="0" w:line="291" w:lineRule="exact"/>
        <w:rPr>
          <w:sz w:val="20"/>
          <w:szCs w:val="20"/>
          <w:color w:val="auto"/>
        </w:rPr>
      </w:pPr>
    </w:p>
    <w:p>
      <w:pPr>
        <w:ind w:left="120" w:right="320"/>
        <w:spacing w:after="0" w:line="259" w:lineRule="auto"/>
        <w:rPr>
          <w:sz w:val="20"/>
          <w:szCs w:val="20"/>
          <w:color w:val="auto"/>
        </w:rPr>
      </w:pPr>
      <w:r>
        <w:rPr>
          <w:rFonts w:ascii="Times New Roman" w:cs="Times New Roman" w:eastAsia="Times New Roman" w:hAnsi="Times New Roman"/>
          <w:sz w:val="18"/>
          <w:szCs w:val="18"/>
          <w:b w:val="1"/>
          <w:bCs w:val="1"/>
          <w:color w:val="auto"/>
        </w:rPr>
        <w:t>Our amended and restated certificate memorandum and articles of association will require, to the fullest extent permitted by law, that derivative actions brought in our name, actions against our directors, officers, other employees or shareholders for breach of fiduciary duty and certain other actions may be brought only in the courts of the Cayman Islands and, if brought outside of The Cayman Islands, the shareholder bringing the suit will, subject to certain exceptions, be deemed to have consented to service of process on such shareholder’s counsel, which may have the effect of discouraging lawsuits against our directors, officers, other employees or shareholders.</w:t>
      </w:r>
    </w:p>
    <w:p>
      <w:pPr>
        <w:spacing w:after="0" w:line="75"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unless the Company consents in writing to the selection of an alternative forum, the courts of the Cayman Islands shall have exclusive jurisdiction over any claim or dispute arising out of or in connection with our amended and restated memorandum and articles of association or otherwise related in any way to each shareholder’s shareholding in the Company, including but not limited to (i) any derivative action or proceeding brought on behalf of the Company, (ii) any action asserting a claim of breach of any fiduciary or other duty owed by any current or former director, officer, shareholder or other employee of the Company to the Company or the shareholders of the Company, (iii) any action asserting a claim arising pursuant to any provision of the Companies Act or our amended and restated memorandum and articles of association, or (iv) any action asserting a claim against the Company 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our amended and restated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the sole and exclusive forum for determination of such a claim.</w:t>
      </w:r>
    </w:p>
    <w:p>
      <w:pPr>
        <w:spacing w:after="0" w:line="19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also provide that, without prejudice to any other rights or remedies that the Company may have, each shareholder of the Company acknowledges that damages alone would not be an adequate remedy for any breach of the selection of the courts of the Cayman Islands as exclusive forum and that accordingly the Company shall be entitled, without proof of special damages, to the remedies of injunction, specific performance or other equitable relief for any threatened or actual breach of the selection of the courts of the Cayman Islands as exclusive forum.</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choice of forum provision may increase a shareholder’s cost and limit the shareholder’s ability to bring a claim in a judicial forum that it finds favourable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inapplicable or unenforceable in an action, we may incur additional costs associated with resolving the dispute in other jurisdictions, which could have adverse effect on our business and financial performance.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 investment in this offering may result in uncertain or adverse U.S. federal income tax consequences.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Class A ordinary shares and the one-fifth of a warrant to purchase one Class A ordinary share included in each unit could be challenged by the IRS or courts. Furthermore, the U.S. federal income tax consequences of a cashless exercise of warrants included in the units we are issuing in this offering is unclear under current law. Finally, it is unclear whether the redemption rights with respect to our ordinary shares suspend the running of a U.S. Holder’s holding period for purposes of determining whether any gain or loss realized by such holder on the sale or exchange of Class A ordinary shares is long-term capital gain or loss and for determining whether any dividend we pay would be considered “qualified dividends” for U.S. federal income tax purposes. See the section titled “Taxation—United States Federal Income Tax Considerations” for a summary of the U.S. federal income tax considerations of an investment in our securities. Prospective investors are urged to consult their tax advisors with respect to these and other tax consequences when purchasing, holding or disposing of our securities.</w:t>
      </w:r>
    </w:p>
    <w:p>
      <w:pPr>
        <w:spacing w:after="0" w:line="298"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color w:val="auto"/>
        </w:rPr>
        <w:t>Since only holders of our founder shares will have the right to vote on the election of directors, upon the listing of our shares on the NYSE, the NYSE may consider us to be a “controlled company” within the meaning of the NYSE rules and, as a result, we may qualify for exemptions from certain corporate governance requirements.</w:t>
      </w:r>
    </w:p>
    <w:p>
      <w:pPr>
        <w:spacing w:after="0" w:line="6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After completion of this offering, only holders of our founder shares will have the right to vote on the election of directors. As a result, the NYSE may consider us to be a “controlled company” within the meaning of the NYSE corporate governance standards. Under the NYSE corporate governance standards, a company of which more than 50% of the voting power is held by an individual, group or another company is a “controlled company” and may elect not to comply with certain corporate governance requirements, including the requirements that:</w:t>
      </w:r>
    </w:p>
    <w:p>
      <w:pPr>
        <w:spacing w:after="0" w:line="85"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board that includes a majority of “independent directors,” as defined under the rules of the NYSE;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compensation committee of our board that is comprised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nominating and corporate governance committee of our board that is comprised entirely of independent directors with a written charter addressing the committee’s purpose and responsibilities.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do not intend to utilize these exemptions and intend to comply with the corporate governance requirements of the NYSE, subject to applicable phase-in rules. However, if we determine in the future to utilize some or all of these exemptions, you will not have the same protections afforded to shareholders of companies that are subject to all of the NYSE corporate governance requirements.</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share and (ii) the actual amount per share held in the trust account as of the date of the liquidation of the trust account if less than $10.00 per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For example, the cost of such legal action may be deemed by the independent directors to be too high relative to the amount recoverable. If our independent directors choose not to enforce these indemnification obligations, the amount of funds in the trust account available for distribution to our public shareholders may be reduced below $10.00 per share.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may not have sufficient funds to satisfy indemnification claims of our directors and executive officers.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(except to the extent they are entitled to funds from the trust account due to their ownership of public shares).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292" w:lineRule="exact"/>
        <w:rPr>
          <w:sz w:val="20"/>
          <w:szCs w:val="20"/>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color w:val="auto"/>
        </w:rPr>
        <w:t>If, after we distribute the proceeds in the trust account to our public shareholders, we file a bankruptcy or winding up petition or an involuntary bankruptcy or winding up petition is filed against us that is not dismissed, a bankruptcy or insolvency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after we distribute the proceeds in the trust account to our public shareholders, we file a bankruptcy or winding up petition or an involuntary bankruptcy or winding up petition is filed against us that is not dismissed, any distributions received by shareholders could be viewed under applicable debtor/creditor or bankruptcy or insolvency laws as either a “preferential transfer” or a “fraudulent conveyance.” As a result, a bankruptcy or insolvency court could seek to recover some or all amounts received by our shareholders. In addition, our board of directors may be viewed as having breached its fiduciary duty to our creditors or having acted in bad faith, thereby exposing itself and us to claims of punitive damages, by paying public shareholders from the trust account prior to addressing the claims of creditors.</w:t>
      </w:r>
    </w:p>
    <w:p>
      <w:pPr>
        <w:spacing w:after="0" w:line="291"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color w:val="auto"/>
        </w:rPr>
        <w:t>If, before distributing the proceeds in the trust account to our public shareholders, we file a bankruptcy or winding-up petition or an involuntary bankruptcy or winding-up petition is filed against us and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7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before distributing the proceeds in the trust account to our public shareholders, we file a bankruptcy or winding-up petition or an involuntary bankruptcy or winding-up petition is filed against us and is not dismissed, the proceeds held in the trust account could be subject to applicable bankruptcy or insolvency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have not consummated an initial business combination within 24 months from the closing of this offering, our public shareholders may be forced to wait beyond such 24 months before redemption from our trust account.</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we have not consummated an initial business combination within 24 months from the closing of this offering, the proceeds then on deposit in the trust account, including interest earned on the funds held in the trust account and not previously released to us to pay our income taxes, if any, (less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Act. In that case, investors may be forced to wait beyond 24 months from the closing of this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we consummate our initial business combination or amend certain provisions of our amended and restated memorandum and articles of association prior thereto and only then in cases where investors have sought to require us to redeem their Class A ordinary shares. Only upon our redemption or any liquidation will public shareholders be entitled to distributions if we have not completed our initial business combination and have not amended certain provisions of our amended and restated memorandum and articles of association within 24 months from the closing of this offering.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299"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shareholders may be held liable for claims by third parties against us to the extent of distributions received by them upon redemption of their shares.</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we are forced to enter into an insolvent liquidation, any distributions received by shareholders could be viewed as an unlawful payment if it were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or as having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for a fine of $18,293 and imprisonment for five years in the Cayman Islands.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may not hold an annual shareholder meeting until after the consummation of our initial business combination.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the NYSE corporate governance requirements, we are not required to hold an annual shareholder meeting until one year after our first fiscal year end following our listing on the NYSE. There is no requirement under the Companies Act for us to hold shareholder meetings to elect directors. Until we hold an annual shareholder meeting, public shareholders may not be afforded the opportunity to elect directors and to discuss company affairs with management. Our board of directors is divided into three classes with only one class of directors being elected in each year and each class (except for those directors appointed prior to our first annual shareholder meeting) serving a three-year term.</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 of Class A ordinary shares will not be entitled to vote on any election of directors we hold prior to our initial business combination.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Accordingly, you may not have any say in the management of our company prior to the consummation of an initial business combination.</w:t>
      </w:r>
    </w:p>
    <w:p>
      <w:pPr>
        <w:spacing w:after="0" w:line="284"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and causing such warrants to expire worthless.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not registering the Class A ordinary shares issuable upon exercise of the warrants under the Securities Act or any state securities laws at this time. However, under the terms of the warrant agreement, we have agreed to use our commercially reasonable efforts to file a registration statement under the Securities Act covering such shares and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warrants are not registered under the Securities Act, we will be required to permit holders to exercise their warrants on a cashless basis in which case, the number of Class A ordinary shares that you will receive upon cashless exercise will be based on a formula subject to a maximum amount of shares equal to 0.361 Class A ordinary shares per warrant (subject to adjustment).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unless an exemption is available. In no event will we be required to net cash settle any warrant, or issue securities or other compensation in exchange for the warrants in the event that we are unable to register or qualify the shares underlying the warrants under the Securities Act or applicable state securities laws.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There may be a circumstance where an exemption from registration exists for holders of our private placement warrants to exercise their warrants while a corresponding exemption does not exist for holders of the warrants included as part of units sold in this offering. In such an instance, our sponsor and its transferees (which may include our directors and executive officers) would be able to sell the ordinary shares underlying their warrants while holders of our public warrants would not be able to exercise their warrants and sell the underlying ordinary shares. If and when the warrants become redeemable by us, we may exercise our redemption right even if we are unable to register or qualify the underlying securities for sale under all applicable state securities laws.</w:t>
      </w:r>
    </w:p>
    <w:p>
      <w:pPr>
        <w:spacing w:after="0" w:line="292"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Our warrants are expected to be accounted for as derivative liabilities and will be recorded at fair value upon issuance with changes in fair value for each period reported in earnings, which may have an adverse effect on the market price of our Class A common stock or may make it more difficult for us to consummate an initial business combination.</w:t>
      </w:r>
    </w:p>
    <w:p>
      <w:pPr>
        <w:spacing w:after="0" w:line="67"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Following consummation of this offering and the concurrent issuance of the private placement of warrants to our sponsor, we expect to account for the 32,500,000 warrants to be issued in connection with this offering (comprised of the 17,500,000 warrants included in the units and the 15,000,000 private placement warrants, assuming the underwriters’ over-allotment option is not exercised) in accordance with the guidance contained in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ASC 815-40. Such guidance provides that because the warrants do not meet the criteria for equity treatment thereunder, each warrant must be recorded as a liability. Accordingly, we expect to classify each of the warrants as a liability at its fair value upon as determined by us based upon valuation report obtained from an independent third party valuation firm. At each reporting period (1) the accounting treatment of the warrants will be re-evaluated for proper accounting treatment as a liability or equity and (2) the fair value of the liability of the public and private warrants will be remeasured and the change in the fair value of the liability will be recorded as other income (expense) in our income statement. Changes in the inputs and assumptions for the valuation model we use to determine the fair value of such liability may have a material impact on the estimated fair value of the embedded derivative liability. The share price of our Class A common stock represents the primary underlying variable that impacts the value of the derivative instruments. Additional factors that impact the value of the derivative instruments include the volatility of our stock price, discount rates and stated interest rates. As a result, our consolidated financial statements and results of operations will fluctuate quarterly, based on various factors, such as the share price of our Class A common stock, many of which are outside of our control. In addition, we may change the underlying assumptions used in our valuation model, which could in result in significant fluctuations in our results of operations. If our stock price is volatile, we expect that we will recognize noncash gains or losses on our warrants or any other similar derivative instruments each reporting period and that the amount of such gains or losses could be material. The impact of changes in fair value on earnings may have an adverse effect on the market price of our Class A common stock. In addition, potential targets may seek a blank check company that does not have warrants that are accounted for as a warrant liability, which may make it more difficult for us to consummate an initial business combination with a target business.</w:t>
      </w:r>
    </w:p>
    <w:p>
      <w:pPr>
        <w:spacing w:after="0" w:line="300"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Our ability to require holders of our warrants to exercise such warrants on a cashless basis after we call the warrants for redemption or if there is no effective registration statement covering the Class A ordinary shares issuable upon exercise of these warrants will cause holders to receive fewer Class A ordinary shares upon their exercise of the warrants than they would have received had they been able to pay the exercise price of their warrants in cash.</w:t>
      </w:r>
    </w:p>
    <w:p>
      <w:pPr>
        <w:spacing w:after="0" w:line="7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we call the warrants for redemption, we will have the option, in our sole discretion, to require all holders that wish to exercise warrants to do so on a cashless basis. If we choose to require holders to exercise their warrants on a cashless basis or if holders elect to do so when there is no effective registration statement, the number of Class A ordinary shares received by a holder upon exercise will be fewer than it would have been had such holder exercised his or her warrant for cash. For example, if the holder is exercising 875 public warrants at $11.50 per share through a cashless exercise when the Class A ordinary shares have a fair market value of $17.50 per share, then upon the cashless exercise, the holder will receive 300 Class A ordinary shares. The holder would have received 875 Class A ordinary shares if the exercise price was paid in cash. This will have the effect of reducing the potential “upside” of the holder’s investment in our company because the warrant holder will hold a smaller number of Class A ordinary shares upon a cashless exercise of the warrants.</w:t>
      </w:r>
    </w:p>
    <w:p>
      <w:pPr>
        <w:spacing w:after="0" w:line="296"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color w:val="auto"/>
        </w:rPr>
        <w:t>The warrants may become exercisable and redeemable for a security other than the Class A ordinary shares, and there is no information regarding such other security at this time.</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certain situations, including if we are not the surviving entity in our initial business combination, the warrants may become exercisable for a security other than the Class A ordinary shares. As a result, if the surviving company redeems your warrants for securities pursuant to the warrant agreement, you may receive a security in a company for which there is no information at this time. Pursuant to the warrant agreement, the surviving company will be required to use commercially reasonable efforts to register the issuance of the security underlying the warrants within 20 business days of the closing of an initial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may be a passive foreign investment company (“PFIC”), which could result in adverse U.S. federal income tax consequences to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we are a PFIC for any taxable year (or portion thereof) that is included in the holding period of a U.S. Holder (as defined in the section of this prospectus captioned “Taxation—United States Federal Income Tax</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Considerations—General”)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“Taxation—United States Federal Income Tax Considerations—U.S. Holders—Passive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(and if the start-up exception may be applicable, potentially not until after the two taxable years following).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tax advisors regarding the possible application of the PFIC rules. For a more detailed discussion of the tax consequences of PFIC classification to U.S. Holders, see the section of this prospectus captioned “Taxation—United States Federal Income Tax Considerations—U.S. Holders—Passive Foreign Investment Company Rules.”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We may reincorporate in another jurisdiction in connection with our initial business combination and such reincorporation may result in taxes imposed on shareholders or warrant holders.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in connection with our initial business combination and subject to requisite shareholder approval under the Companies Act, reincorporate in the jurisdiction in which the target company or business is located or in another jurisdiction. The transaction may require a shareholder or warrant holder to recognize taxable income in the jurisdiction in which the shareholder or warrant holder is a tax resident or in which its members are resident if it is a tax transparent entity (or may otherwise result in adverse tax consequences). We do not intend to make any cash distributions to shareholders or warrant holders to pay such taxes. Shareholders or warrant holders may be subject to withholding taxes or other taxes with respect to their ownership of us after the reincorporation.</w:t>
      </w:r>
    </w:p>
    <w:p>
      <w:pPr>
        <w:spacing w:after="0" w:line="291" w:lineRule="exact"/>
        <w:rPr>
          <w:sz w:val="20"/>
          <w:szCs w:val="20"/>
          <w:color w:val="auto"/>
        </w:rPr>
      </w:pPr>
    </w:p>
    <w:p>
      <w:pPr>
        <w:jc w:val="both"/>
        <w:ind w:left="120" w:right="20"/>
        <w:spacing w:after="0" w:line="317" w:lineRule="auto"/>
        <w:rPr>
          <w:sz w:val="20"/>
          <w:szCs w:val="20"/>
          <w:color w:val="auto"/>
        </w:rPr>
      </w:pPr>
      <w:r>
        <w:rPr>
          <w:rFonts w:ascii="Times New Roman" w:cs="Times New Roman" w:eastAsia="Times New Roman" w:hAnsi="Times New Roman"/>
          <w:sz w:val="17"/>
          <w:szCs w:val="17"/>
          <w:b w:val="1"/>
          <w:b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28"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284"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5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The securities in the trust account could bear a negative rate of interest, which could reduce the value of the assets held in trust such that the per-share redemption amount received by public shareholders may be less than $10.00 per share.</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proceeds held in the trust account are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not released to us, net of taxes payable. Negative interest rates could impact the per-share redemption amount that may be received by public shareholders. In addition, we are allowed to remove permitted withdrawals to pay our taxes; this means that even with a positive interest rate, most or all of the interest income may be withdrawn by us and not be available to fund our business combination or to be returned to investors upon a redemption.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are a recently incorporated company with no operating history and no revenues, and you have no basis on which to evaluate our ability to achieve our business objective.</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a recently incorporated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28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Past performance by Ares, </w:t>
      </w:r>
      <w:r>
        <w:rPr>
          <w:rFonts w:ascii="Times New Roman" w:cs="Times New Roman" w:eastAsia="Times New Roman" w:hAnsi="Times New Roman"/>
          <w:sz w:val="18"/>
          <w:szCs w:val="18"/>
          <w:b w:val="1"/>
          <w:bCs w:val="1"/>
          <w:i w:val="1"/>
          <w:iCs w:val="1"/>
          <w:color w:val="auto"/>
        </w:rPr>
        <w:t>AAC</w:t>
      </w:r>
      <w:r>
        <w:rPr>
          <w:rFonts w:ascii="Times New Roman" w:cs="Times New Roman" w:eastAsia="Times New Roman" w:hAnsi="Times New Roman"/>
          <w:sz w:val="18"/>
          <w:szCs w:val="18"/>
          <w:b w:val="1"/>
          <w:bCs w:val="1"/>
          <w:color w:val="auto"/>
        </w:rPr>
        <w:t>, or its affiliates or our directors and executive officers, including investments and transactions in which they have participated and businesses with which they have been associated, may not be indicative of future performance of an investment in us, and we may be unable to provide positive returns to shareholders.</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Information regarding performance by, or businesses associated with, Ares, AAC, its affiliates or our directors and executive officers is presented for informational purposes only. Any past experience and performance of Ares or its affiliates or our directors and executive officers is not a guarantee either: (1) that we will be able to successfully identify a suitable candidate for our initial business combination; or (2) of any results with respect to any initial business combination we may consummate. You should not rely on the historical record of Ares, AAC, its affiliates or our directors and executive officers’ performance as indicative of the future performance of an investment in us, including whether we can provide an attractive return to our shareholders, or as indicative of every prior investment by our directors and executive officers. Ares and our directors and executive officers have had limited experience with blank check companies and special purpose acquisition companies. The market price of our securities may be influenced by numerous factors, many of which are beyond our control, and our shareholders may experience losses on their investment in our securities.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color w:val="auto"/>
        </w:rPr>
        <w:t>Cybersecurity risks and cyber incidents could adversely affect our business by causing a disruption to our operations, a compromise or corruption of our confidential information and confidential information in our possession and/or damage to our business relationships, any of which could negatively impact our business, financial condition and operating results.</w:t>
      </w:r>
    </w:p>
    <w:p>
      <w:pPr>
        <w:spacing w:after="0" w:line="6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and our sponsor and its affiliates face increasingly frequent and sophisticated cyber and security threats, with attacks ranging from those common to businesses generally to those that are more advanced and persistent, which may target us because we are affiliated with an alternative asset management firm and may hold confidential and other price sensitive information about existing and potential investments. We depend on digital technologies, including information systems, infrastructure and cloud applications and services, including those of Ares and its third party vendors, and other third parties. Cyber attacks and other security threats could originate from a wide variety of sources, including cyber criminals, nation state hackers, hacktivists and other outside parties. As a result, we may face a heightened risk of a security breach or disruption with respect to sensitive information resulting from an attack by computer hackers, foreign governments or cyber terrorists.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efficient operation of our business is dependent on computer hardware and software systems, as well as data processing systems and the secure processing, storage and transmission of information, which are vulnerable to security breaches and cyber incidents. 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In addition, we and our employees may be the target of fraudulent emails or other targeted attempts to gain unauthorized access to proprietary or sensitive information. The result of these incidents may include disrupted operations, misstated or unreliable financial data, increased cybersecurity protection and insurance costs, litigation and damage to our business relationships. Any processes, procedures and internal controls we may implement to mitigate cybersecurity risks and cyber intrusions, as well as our increased awareness of the nature and extent of a risk of a cyber-incident, will not guarantee that a cyber-incident will not occur or that our financial results, operations or confidential information will not be negatively impacted by such an incident, especially because the cyber-incident techniques change frequently or are not recognized until launched and because cyber-incidents can originate from a wide variety of sources. We may not have sufficient funding and resources to comply with evolving cybersecurity regulations and to continually monitor and enhance our cybersecurity procedures and controls.</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5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Some of the statements contained in this prospectus may constitute “forward-looking statements” within the meaning of Section 27A of the Securities Act of 1933, as amended (the “Securities Act”), and Section 21E of the Securities Exchange Act of 1934, as amended (the “Exchange Act”) which reflect our current views with respect to, among other things, future events, operations and financial performance. . Our forward-looking statements include, but are not limited to, statements regarding our or our directors and executive officers’ expectations, hopes, beliefs, intentions or strategies regarding the future. You can identify these forward-looking statements by the use of forward-looking words such as “outlook,” “believes,” “expects,” “potential,” “continues,” “may,” “will,” “should,” “seeks,” “approximately,” “predicts,” “intends,” “plans,” “estimates,” “anticipates” or the negative version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Such forward-looking statements are subject to various risks and uncertainties and assumptions relating to our operations, financial results, financial condition, business prospects, growth strategy and liquidity. Forward-looking statements in this prospectus may include, for example, statements about:</w:t>
      </w:r>
    </w:p>
    <w:p>
      <w:pPr>
        <w:spacing w:after="0" w:line="82"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 an appropriate target business or businesses and complete our initial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around the performance of the prospective target business or businesses;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following our initial business combination;</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allocating their time to other businesses and potentially having conflicts of interest with our business or in approving our initial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to complete our initial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pool of prospective target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an initial business combination due to the uncertainty resulting from the recent COVID-19 pandemic;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business combination opportunities;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proceeds not held in the trust account or available to us from interest income on the trust account balance;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account not being subject to claims of third parties;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this offering.</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and other cautionary statements that are included in this report. If one or more of these or other risks or uncertainties materialize, or if our underlying assumptions prove to be incorrect, our actual results may vary materially from those indicated in these forward-looking statements. New risks and uncertainties arise over time, and it is not possible for us to predict those events or how they may affect us. Therefore, you should not place undue reliance on these forward-looking statements. Any forward-looking statement speaks only as of the date on which it is made. We do not undertake any obligation to publicly update or review any forward-looking statement, whether as a result of new information, future developments or otherwise, except as required by law.</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offering 87,500,000 units at an offering price of $10.00 per unit. We estimate that the net proceeds of this offering, together with the funds we will receive from the sale of the private placement warrants, will be used as set forth in the following table: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Over-allotment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proceeds</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proceeds from units offered to public</w:t>
            </w:r>
            <w:r>
              <w:rPr>
                <w:rFonts w:ascii="Times New Roman" w:cs="Times New Roman" w:eastAsia="Times New Roman" w:hAnsi="Times New Roman"/>
                <w:sz w:val="15"/>
                <w:szCs w:val="15"/>
                <w:color w:val="auto"/>
              </w:rPr>
              <w:t>(1)</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$875,000,000</w:t>
            </w:r>
          </w:p>
        </w:tc>
        <w:tc>
          <w:tcPr>
            <w:tcW w:w="5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1,006,250,000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Gross proceeds from private placement warrants offered in the private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placement</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22,500,000</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25,125,000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gross proceeds</w:t>
            </w:r>
          </w:p>
        </w:tc>
        <w:tc>
          <w:tcPr>
            <w:tcW w:w="140" w:type="dxa"/>
            <w:vAlign w:val="bottom"/>
          </w:tcPr>
          <w:p>
            <w:pPr>
              <w:spacing w:after="0"/>
              <w:rPr>
                <w:sz w:val="19"/>
                <w:szCs w:val="19"/>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897,500,000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1,031,375,000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r>
              <w:rPr>
                <w:rFonts w:ascii="Times New Roman" w:cs="Times New Roman" w:eastAsia="Times New Roman" w:hAnsi="Times New Roman"/>
                <w:sz w:val="15"/>
                <w:szCs w:val="15"/>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Underwriting commissions (2.0% of gross proceeds from units offered to</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 w:type="dxa"/>
            <w:vAlign w:val="bottom"/>
          </w:tcPr>
          <w:p>
            <w:pPr>
              <w:spacing w:after="0"/>
              <w:rPr>
                <w:sz w:val="20"/>
                <w:szCs w:val="20"/>
                <w:color w:val="auto"/>
              </w:rPr>
            </w:pPr>
          </w:p>
        </w:tc>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excluding deferred portion)</w:t>
            </w:r>
            <w:r>
              <w:rPr>
                <w:rFonts w:ascii="Times New Roman" w:cs="Times New Roman" w:eastAsia="Times New Roman" w:hAnsi="Times New Roman"/>
                <w:sz w:val="15"/>
                <w:szCs w:val="15"/>
                <w:color w:val="auto"/>
              </w:rPr>
              <w:t>(3)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5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20,125,000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SEC/FINRA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261,220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261,220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road show</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NYSE listing and filing fees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&amp; Officer liability insurance premiums</w:t>
            </w:r>
            <w:r>
              <w:rPr>
                <w:rFonts w:ascii="Times New Roman" w:cs="Times New Roman" w:eastAsia="Times New Roman" w:hAnsi="Times New Roman"/>
                <w:sz w:val="15"/>
                <w:szCs w:val="15"/>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1,648,780</w:t>
            </w:r>
          </w:p>
        </w:tc>
        <w:tc>
          <w:tcPr>
            <w:tcW w:w="5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1,648,780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offering expenses (other than underwriting discounts)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5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Proceeds after offering expenses</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877,000,000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1,008,250,000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 in trust account</w:t>
            </w:r>
            <w:r>
              <w:rPr>
                <w:rFonts w:ascii="Times New Roman" w:cs="Times New Roman" w:eastAsia="Times New Roman" w:hAnsi="Times New Roman"/>
                <w:sz w:val="15"/>
                <w:szCs w:val="15"/>
                <w:color w:val="auto"/>
              </w:rPr>
              <w:t>(3)</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$875,000,000</w:t>
            </w:r>
          </w:p>
        </w:tc>
        <w:tc>
          <w:tcPr>
            <w:tcW w:w="5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1,006,250,000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 of public offering size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held in trust account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5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gridSpan w:val="8"/>
          </w:tcPr>
          <w:p>
            <w:pPr>
              <w:jc w:val="right"/>
              <w:ind w:right="1040"/>
              <w:spacing w:after="0"/>
              <w:rPr>
                <w:sz w:val="20"/>
                <w:szCs w:val="20"/>
                <w:color w:val="auto"/>
              </w:rPr>
            </w:pPr>
            <w:r>
              <w:rPr>
                <w:rFonts w:ascii="Times New Roman" w:cs="Times New Roman" w:eastAsia="Times New Roman" w:hAnsi="Times New Roman"/>
                <w:sz w:val="18"/>
                <w:szCs w:val="18"/>
                <w:color w:val="auto"/>
                <w:w w:val="99"/>
              </w:rPr>
              <w:t>The following table shows the use of the $2,000,000 of net proceeds not held in the trust account.</w:t>
            </w:r>
            <w:r>
              <w:rPr>
                <w:rFonts w:ascii="Times New Roman" w:cs="Times New Roman" w:eastAsia="Times New Roman" w:hAnsi="Times New Roman"/>
                <w:sz w:val="15"/>
                <w:szCs w:val="15"/>
                <w:color w:val="auto"/>
                <w:w w:val="99"/>
              </w:rPr>
              <w:t>(5)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61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Legal, accounting, due diligence, travel, and other expenses in connection with any</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combination</w:t>
            </w:r>
            <w:r>
              <w:rPr>
                <w:rFonts w:ascii="Times New Roman" w:cs="Times New Roman" w:eastAsia="Times New Roman" w:hAnsi="Times New Roman"/>
                <w:sz w:val="15"/>
                <w:szCs w:val="15"/>
                <w:color w:val="auto"/>
              </w:rPr>
              <w:t>(6)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Legal and accounting fees related to regulatory reporting obligations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office space, administrative and support services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NYSE continued listing fees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to cover miscellaneous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2,000,000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200" w:hanging="424"/>
        <w:spacing w:after="0" w:line="26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payable to public shareholders who properly elect to redeem their shares in connection with our successful completion of our initial business combination.</w:t>
      </w:r>
    </w:p>
    <w:p>
      <w:pPr>
        <w:ind w:left="540" w:right="60" w:hanging="424"/>
        <w:spacing w:after="0" w:line="26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offering expenses will be paid from the proceeds of loans from our sponsor of up to $300,000 as described in this prospectus. As of June 30, 2021, $172,074 is outstanding under the promissory</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60"/>
          </w:cols>
          <w:pgMar w:left="320" w:top="455" w:right="5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0"/>
        <w:spacing w:after="0" w:line="255" w:lineRule="auto"/>
        <w:rPr>
          <w:sz w:val="20"/>
          <w:szCs w:val="20"/>
          <w:color w:val="auto"/>
        </w:rPr>
      </w:pPr>
      <w:r>
        <w:rPr>
          <w:rFonts w:ascii="Times New Roman" w:cs="Times New Roman" w:eastAsia="Times New Roman" w:hAnsi="Times New Roman"/>
          <w:sz w:val="18"/>
          <w:szCs w:val="18"/>
          <w:color w:val="auto"/>
        </w:rPr>
        <w:t>note with our sponsor. These amounts will be repaid upon completion of this offering out of the offering proceeds that has been allocated for the payment of offering expenses (other than underwriting commissions) and amounts not to be held in the trust account. In the event that offering expenses are less than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3" w:lineRule="exact"/>
        <w:rPr>
          <w:sz w:val="20"/>
          <w:szCs w:val="20"/>
          <w:color w:val="auto"/>
        </w:rPr>
      </w:pPr>
    </w:p>
    <w:p>
      <w:pPr>
        <w:ind w:left="5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have agreed to defer underwriting commissions of 3.5% of the gross proceeds of this offering. Upon and concurrently with the completion of our initial business combination, $30,625,000, which constitutes the underwriters’ deferred commissions (or $35,218,750 if the underwriters’ over-allotment option is exercised in full) will be paid to the underwriters from the funds held in the trust account. See “Underwriting.” The remaining funds, less amounts 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approximate amount of annualized director and officer liability insurance premiums we anticipate paying following the completion of this offering and until we complete a business combination.</w:t>
      </w:r>
    </w:p>
    <w:p>
      <w:pPr>
        <w:ind w:left="5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0.1% per year, we estimate the interest earned on the trust account will be approximately $875,000 per year; however, we can provide no assurances regarding this amount.</w:t>
      </w:r>
    </w:p>
    <w:p>
      <w:pPr>
        <w:spacing w:after="0" w:line="4" w:lineRule="exact"/>
        <w:rPr>
          <w:rFonts w:ascii="Times New Roman" w:cs="Times New Roman" w:eastAsia="Times New Roman" w:hAnsi="Times New Roman"/>
          <w:sz w:val="18"/>
          <w:szCs w:val="18"/>
          <w:color w:val="auto"/>
        </w:rPr>
      </w:pPr>
    </w:p>
    <w:p>
      <w:pPr>
        <w:ind w:left="540" w:right="760" w:hanging="424"/>
        <w:spacing w:after="0" w:line="26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estimated amounts that may also be used in connection with our initial business combination to fund a “no shop” provision and commitment fees for financing.</w:t>
      </w:r>
    </w:p>
    <w:p>
      <w:pPr>
        <w:spacing w:after="0" w:line="18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Of the $897,500,000 in proceeds we receive from this offering and the sale of the private placement warrants described in this prospectus, or $1,031,375,000 if the underwriters’ over-allotment option is exercised in full, $875,000,000 ($10.00 per unit), or $1,006,250,000 if the underwriters’ over-allotment option is exercised in full ($10.00 per unit), will be deposited into a trust account with Continental Stock Transfer &amp; Trust Company acting as trustee, and $22,500,000, or $25,125,000 if the underwriters’ over-allotment option is exercised in full, will be used to pay expenses in connection with the closing of this offering and for working capital following this offering. We will not be permitted to withdraw any of the principal or interest held in the trust account, except with respect to interest earned on the funds held in the trust account that may be released to us to pay our income taxes, if any, (less up to $100,000 of interest to pay dissolution expenses) until the earliest of (i) the completion of our initial business combination, (ii) the redemption of our public shares if we have not consummated an initial business combination within 24 months from the closing of this offering, subject to applicable law, or (iii) the redemption of our public shares properly submitted in connection with a shareholder vote to approve an amendment to our amended and restated memorandum and articles of association (A) that would modify the substance or timing of our obligation to provide holders of our Class A ordinary shares the right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Based on current interest rates, we expect that interest income earned on the trust account (if any) will be sufficient to pay our income taxes.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believe that amounts not held in trust, together with funds available to us from loans from our sponsor, will be sufficient to pay the costs and expenses to which such proceeds are allocated.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directors or executive officers or any of their affiliates, but such persons are not under any obligation to advance funds to, or invest in, us.</w:t>
      </w:r>
    </w:p>
    <w:p>
      <w:pPr>
        <w:spacing w:after="0" w:line="187"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We will reimburse an affiliate of our sponsor for office space, secretarial and administrative services provided to our directors and executive officers, in the amount of $16,667 per month. Upon completion of our initial business combination or our liquidation, we will cease paying these monthly fees.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closing of this offering, our sponsor has agreed to loan us up to $300,000 to be used for a portion of the expenses of this offering. As of June 30, 2021, $172,074 is outstanding under the promissory note with our sponsor. These loans are non-interest bearing, unsecured and are due at the earlier of December 31, 2021, or the closing of this offering. The loan will be repaid upon the closing of this offering out of the offering proceeds not held in the trust account.</w:t>
      </w:r>
    </w:p>
    <w:p>
      <w:pPr>
        <w:spacing w:after="0" w:line="18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addition,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$2,000,000 of such loans may be convertible into warrants of the post business combination entity at a price of $1.50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upon the consummation of this offering. Further, if we incur any indebtedness in connection with a business combination, our ability to declare dividends may be limited by restrictive covenants we may agree to in connection therewith.</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89"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At June 30, 2021, our net tangible book deficit was $(374,713), or approximately $(0.01) per ordinary share. After giving effect to the sale of 87,500,000 Class A ordinary shares included in the units we are offering by this prospectus (or 100,625,000 Class A ordinary shares if the underwriters’ over-allotment option is exercised in full), the sale of the private placement warrants and the deduction of underwriting commissions and estimated expenses of this offering, our pro forma net tangible book value at June 30, 2021 would have been $(76,027,856) or $(3.48) per share (or $(87,000,756) or $(3.46) per share if the underwriters’ over-allotment option is exercised in full), representing an immediate decrease in net tangible book value (as decreased by the value of 87,500,000 Class A ordinary shares that may be redeemed for cash, or 100,625,000 Class A ordinary shares if the underwriters’ over-allotment option is exercised in full) of $3.48 per share (or $3.46 per share if the underwriters’ over-allotment option is exercised in full) to our sponsor as of the date of this prospectus and an immediate dilution to public shareholders from this offering of $10.00 per share. Total dilution to public shareholders from this offering will be $13.48 per share (or $13.46 if the underwriters’ over-allotment option is exercised in full).</w:t>
      </w:r>
    </w:p>
    <w:p>
      <w:pPr>
        <w:spacing w:after="0" w:line="17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dilution to the public shareholders on a per-share basis, assuming no value is attributed to the warrants included in the units or the private placement warrants: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gridSpan w:val="3"/>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w w:val="96"/>
              </w:rPr>
              <w:t>Without</w:t>
            </w:r>
          </w:p>
        </w:tc>
        <w:tc>
          <w:tcPr>
            <w:tcW w:w="480" w:type="dxa"/>
            <w:vAlign w:val="bottom"/>
          </w:tcPr>
          <w:p>
            <w:pPr>
              <w:spacing w:after="0"/>
              <w:rPr>
                <w:sz w:val="13"/>
                <w:szCs w:val="13"/>
                <w:color w:val="auto"/>
              </w:rPr>
            </w:pPr>
          </w:p>
        </w:tc>
        <w:tc>
          <w:tcPr>
            <w:tcW w:w="118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With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94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16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deficit before this offering</w:t>
            </w:r>
          </w:p>
        </w:tc>
        <w:tc>
          <w:tcPr>
            <w:tcW w:w="9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w w:val="98"/>
              </w:rPr>
              <w:t>$(0.01)</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w w:val="98"/>
              </w:rPr>
              <w:t>$(0.01)</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attributable to public shareholders</w:t>
            </w:r>
          </w:p>
        </w:tc>
        <w:tc>
          <w:tcPr>
            <w:tcW w:w="9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(3.47)</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(3.44)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net tangible book value after this offering and the sale of the private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placement warrants</w:t>
            </w:r>
          </w:p>
        </w:tc>
        <w:tc>
          <w:tcPr>
            <w:tcW w:w="960" w:type="dxa"/>
            <w:vAlign w:val="bottom"/>
            <w:gridSpan w:val="2"/>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4"/>
              </w:rPr>
              <w:t>$ (3.48)</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(3.46)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to public shareholders</w:t>
            </w:r>
          </w:p>
        </w:tc>
        <w:tc>
          <w:tcPr>
            <w:tcW w:w="960" w:type="dxa"/>
            <w:vAlign w:val="bottom"/>
            <w:gridSpan w:val="2"/>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13.48</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13.46</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Percentage of dilution to public shareholders</w:t>
            </w:r>
          </w:p>
        </w:tc>
        <w:tc>
          <w:tcPr>
            <w:tcW w:w="9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20" w:type="dxa"/>
            <w:vAlign w:val="bottom"/>
            <w:gridSpan w:val="2"/>
            <w:vMerge w:val="continue"/>
          </w:tcPr>
          <w:p>
            <w:pPr>
              <w:spacing w:after="0"/>
              <w:rPr>
                <w:sz w:val="18"/>
                <w:szCs w:val="18"/>
                <w:color w:val="auto"/>
              </w:rPr>
            </w:pPr>
          </w:p>
        </w:tc>
        <w:tc>
          <w:tcPr>
            <w:tcW w:w="960" w:type="dxa"/>
            <w:vAlign w:val="bottom"/>
            <w:gridSpan w:val="2"/>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134.8%</w:t>
            </w:r>
          </w:p>
        </w:tc>
        <w:tc>
          <w:tcPr>
            <w:tcW w:w="960" w:type="dxa"/>
            <w:vAlign w:val="bottom"/>
            <w:gridSpan w:val="2"/>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purposes of presentation, we have reduced our pro forma net tangible book value after this offering (assuming no exercise of the underwriters’ over-allotment option) by $875,000,000 because holders of our public shares may elect to have their shares redeemed for a pro rata share of the aggregate amount then on deposit in the trust account at a per share redemption price equal to the amount in the trust account as set forth in our tender offer or proxy materials (initially anticipated to be the aggregate amount held in trust two days prior to the commencement of our tender offer or shareholders meeting, including interest earned on the funds held in the trust account and not previously released to us to pay our income taxes, if any, (less up to $100,000 of interest to pay dissolution expenses) divided by the number of the then-outstanding public shares).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sponsor and the public shareholders: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0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5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500" w:type="dxa"/>
            <w:vAlign w:val="bottom"/>
            <w:vMerge w:val="restart"/>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79"/>
        </w:trPr>
        <w:tc>
          <w:tcPr>
            <w:tcW w:w="5280" w:type="dxa"/>
            <w:vAlign w:val="bottom"/>
          </w:tcPr>
          <w:p>
            <w:pPr>
              <w:spacing w:after="0"/>
              <w:rPr>
                <w:sz w:val="6"/>
                <w:szCs w:val="6"/>
                <w:color w:val="auto"/>
              </w:rPr>
            </w:pPr>
          </w:p>
        </w:tc>
        <w:tc>
          <w:tcPr>
            <w:tcW w:w="2000" w:type="dxa"/>
            <w:vAlign w:val="bottom"/>
            <w:tcBorders>
              <w:bottom w:val="single" w:sz="8" w:color="auto"/>
            </w:tcBorders>
            <w:gridSpan w:val="3"/>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50"/>
        </w:trPr>
        <w:tc>
          <w:tcPr>
            <w:tcW w:w="5280" w:type="dxa"/>
            <w:vAlign w:val="bottom"/>
          </w:tcPr>
          <w:p>
            <w:pPr>
              <w:spacing w:after="0"/>
              <w:rPr>
                <w:sz w:val="4"/>
                <w:szCs w:val="4"/>
                <w:color w:val="auto"/>
              </w:rPr>
            </w:pPr>
          </w:p>
        </w:tc>
        <w:tc>
          <w:tcPr>
            <w:tcW w:w="9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vMerge w:val="restart"/>
          </w:tcPr>
          <w:p>
            <w:pPr>
              <w:spacing w:after="0"/>
              <w:rPr>
                <w:sz w:val="4"/>
                <w:szCs w:val="4"/>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5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vMerge w:val="restart"/>
          </w:tcPr>
          <w:p>
            <w:pPr>
              <w:spacing w:after="0"/>
              <w:rPr>
                <w:sz w:val="4"/>
                <w:szCs w:val="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500" w:type="dxa"/>
            <w:vAlign w:val="bottom"/>
            <w:vMerge w:val="restart"/>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52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w:t>
            </w:r>
            <w:r>
              <w:rPr>
                <w:rFonts w:ascii="Times New Roman" w:cs="Times New Roman" w:eastAsia="Times New Roman" w:hAnsi="Times New Roman"/>
                <w:sz w:val="15"/>
                <w:szCs w:val="15"/>
                <w:color w:val="auto"/>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21,875,000</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0.003%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Public Shareholders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87,500,000</w:t>
            </w:r>
          </w:p>
        </w:tc>
        <w:tc>
          <w:tcPr>
            <w:tcW w:w="3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875,000,000</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99.997%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10.000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109,375,000</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875,025,000</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60" w:hanging="424"/>
        <w:spacing w:after="0" w:line="282"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 and the corresponding forfeiture of 3,281,250 Class B ordinary shares held by our sponsor.</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pro forma net tangible book value per share after the offering (assuming that the underwriters do not exercise their over-allotment option) is calculated as follows: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With</w:t>
            </w:r>
          </w:p>
        </w:tc>
      </w:tr>
      <w:tr>
        <w:trPr>
          <w:trHeight w:val="173"/>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Over-allotment</w:t>
            </w: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deficit before this offering</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(374,713)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(374,713)</w:t>
            </w:r>
          </w:p>
        </w:tc>
      </w:tr>
      <w:tr>
        <w:trPr>
          <w:trHeight w:val="198"/>
        </w:trPr>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proceeds from this offering and sale of the private placement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r>
              <w:rPr>
                <w:rFonts w:ascii="Times New Roman" w:cs="Times New Roman" w:eastAsia="Times New Roman" w:hAnsi="Times New Roman"/>
                <w:sz w:val="15"/>
                <w:szCs w:val="15"/>
                <w:color w:val="auto"/>
              </w:rPr>
              <w:t>(1)</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877,000,000</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1,008,250,000</w:t>
            </w:r>
          </w:p>
        </w:tc>
      </w:tr>
      <w:tr>
        <w:trPr>
          <w:trHeight w:val="198"/>
        </w:trPr>
        <w:tc>
          <w:tcPr>
            <w:tcW w:w="5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Offering costs paid in advance, excluded from tangible book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 before this offering</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388,070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388,070</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Warrant liability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(47,416,213)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(53,795,363)</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underwriting commissions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(30,625,000)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(35,218,750)</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Proceeds held in trust subject to redemption</w:t>
            </w:r>
            <w:r>
              <w:rPr>
                <w:rFonts w:ascii="Times New Roman" w:cs="Times New Roman" w:eastAsia="Times New Roman" w:hAnsi="Times New Roman"/>
                <w:sz w:val="15"/>
                <w:szCs w:val="15"/>
                <w:color w:val="auto"/>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(875,000,000)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(1,006,250,000)</w:t>
            </w:r>
          </w:p>
        </w:tc>
      </w:tr>
      <w:tr>
        <w:trPr>
          <w:trHeight w:val="223"/>
        </w:trPr>
        <w:tc>
          <w:tcPr>
            <w:tcW w:w="5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(76,027,856</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(87,000,756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outstanding prior to this offering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25,156,250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25,156,250</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forfeited if over-allotment is not exercised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(3,281,250)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included in the units offered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87,500,000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100,625,000</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Ordinary shares subject to redemption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(87,500,000)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(100,625,000)</w:t>
            </w:r>
          </w:p>
        </w:tc>
      </w:tr>
      <w:tr>
        <w:trPr>
          <w:trHeight w:val="223"/>
        </w:trPr>
        <w:tc>
          <w:tcPr>
            <w:tcW w:w="5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21,875,000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25,156,250</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61"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applied against gross proceeds include offering expenses of $3,000,000 and underwriting commissions of $17,500,000 or $20,125,000 if the underwriters exercise their over-allotment option (excluding deferred underwriting fees). See “Use of Proceeds.”</w:t>
      </w:r>
    </w:p>
    <w:p>
      <w:pPr>
        <w:ind w:left="540" w:right="40" w:hanging="424"/>
        <w:spacing w:after="0" w:line="25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pro forma net tangible book value per share. See “Proposed Business Effecting Our Initial Business Combination—Permitted Purchases of Our Securities.”</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capitalization at June 30, 2021, and as adjusted to give effect to the filing of our amended and restated memorandum and articles of association, the sale of our units in this offering and the private placement warrants and the application of the estimated net proceeds derived from the sale of such securities: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2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to related party</w:t>
            </w:r>
            <w:r>
              <w:rPr>
                <w:rFonts w:ascii="Times New Roman" w:cs="Times New Roman" w:eastAsia="Times New Roman" w:hAnsi="Times New Roman"/>
                <w:sz w:val="15"/>
                <w:szCs w:val="15"/>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172,074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r>
              <w:rPr>
                <w:rFonts w:ascii="Times New Roman" w:cs="Times New Roman" w:eastAsia="Times New Roman" w:hAnsi="Times New Roman"/>
                <w:sz w:val="15"/>
                <w:szCs w:val="15"/>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47,416,213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8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Class A ordinary shares, $0.0001 par value, 300,000,000 shares authorized, actual and</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0 and 87,500,000 Class A ordinary shares are subject to possible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actual and adjusted, respectively</w:t>
            </w:r>
            <w:r>
              <w:rPr>
                <w:rFonts w:ascii="Times New Roman" w:cs="Times New Roman" w:eastAsia="Times New Roman" w:hAnsi="Times New Roman"/>
                <w:sz w:val="15"/>
                <w:szCs w:val="15"/>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875,000,000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 1,000,000 preference shares authorized, actual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adjusted; 0 preference shares issued and outstanding, actual and as adjusted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30,000,000 shares authorized, actual and as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25,156,250 and 21,875,000 Class B ordinary shares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actual and as adjusted,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(11,643)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(76,030,044)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(76,027,856)</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185,431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877,013,357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line="261"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 and the corresponding forfeiture of 3,281,250 Class B ordinary shares held by our sponsor.</w:t>
      </w:r>
    </w:p>
    <w:p>
      <w:pPr>
        <w:ind w:left="540" w:right="50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has agreed to loan us up to $300,000 to be used for a portion of the expenses of this offering. As of June 30, 2021, $172,074 is outstanding under the promissory note with our sponsor.</w:t>
      </w:r>
    </w:p>
    <w:p>
      <w:pPr>
        <w:ind w:left="5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account for the 32,500,000 warrants to be issued in connection with this offering (17,500,000 warrants included in the units, assuming the underwriters’ over-allotment option is not exercised, and 15,000,000 private placement warrants) in accordance with the guidance contained in ASC 815-40. Such guidance provides that because the warrants do not meet the criteria for equity treatment thereunder, each warrant must be recorded as a liability at its fair value. Such warrant classification is also subject to re-evaluation at each reporting period.</w:t>
      </w:r>
    </w:p>
    <w:p>
      <w:pPr>
        <w:spacing w:after="0" w:line="1" w:lineRule="exact"/>
        <w:rPr>
          <w:rFonts w:ascii="Times New Roman" w:cs="Times New Roman" w:eastAsia="Times New Roman" w:hAnsi="Times New Roman"/>
          <w:sz w:val="18"/>
          <w:szCs w:val="18"/>
          <w:color w:val="auto"/>
        </w:rPr>
      </w:pPr>
    </w:p>
    <w:p>
      <w:pPr>
        <w:ind w:left="540" w:right="200" w:hanging="424"/>
        <w:spacing w:after="0" w:line="252"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our initial business combination, we will provide our public shareholders with the opportunity to require us to redeem their public shares for cash at a per share price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whereby redemptions cannot cause our net tangible assets to be less than $5,000,001 and any limitations (including, but not limited to, cash requirements) created by the terms of the proposed business combination.</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5"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 blank check company newly incorporated as a Cayman Islands exempted company for the purpose of effecting a merger, share exchange, asset acquisition, share purchase, reorganization or similar business combination with one or more businesses, which we refer to as our initial business combination. We have not selected any business combination target and we have not, nor has anyone on our behalf, initiated any substantive discussions, directly or indirectly, with any business combination target. The issuance of additional shares in a business combination:</w:t>
      </w:r>
    </w:p>
    <w:p>
      <w:pPr>
        <w:spacing w:after="0" w:line="85" w:lineRule="exact"/>
        <w:rPr>
          <w:sz w:val="20"/>
          <w:szCs w:val="20"/>
          <w:color w:val="auto"/>
        </w:rPr>
      </w:pPr>
    </w:p>
    <w:p>
      <w:pPr>
        <w:ind w:left="1080" w:right="14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ordinary shares if preference shares are issued with rights senior to those afforded our Class A ordinary shares;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the effect of delaying or preventing a change of control of us by diluting the share ownership or voting rights of a person seeking to obtain control of us;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units, Class A ordinary shares or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result in adjustment to the exercise price of our warrants.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Similarly, if we issue debt securities or otherwise incur significant debt, it could result in:</w:t>
      </w:r>
    </w:p>
    <w:p>
      <w:pPr>
        <w:spacing w:after="0" w:line="131" w:lineRule="exact"/>
        <w:rPr>
          <w:sz w:val="20"/>
          <w:szCs w:val="20"/>
          <w:color w:val="auto"/>
        </w:rPr>
      </w:pPr>
    </w:p>
    <w:p>
      <w:pPr>
        <w:ind w:left="1080" w:right="5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an initial business combination are insufficient to repay our debt obligations;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Class A ordinary shares;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or prevailing interest rates; and</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indicated in the accompanying financial statements, as of June 30, 2021, we had no cash and deferred offering costs of approximately $65,466. Further, we expect to incur significant costs in the pursuit of our initial business combination. We cannot assure you that our plans to raise capital or to complete our initial business combination will be successful.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liquidity needs have been satisfied prior to the completion of this offering through receipt of (i) a $25,000 capital contribution from 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in exchange for the issuance of the founder shares to our sponsor and (ii) and loans to us of up to $300,000 by our sponsor under an unsecured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promissory note. As of June 30, 2021, $172,074 is outstanding under the unsecured promissory note. We estimate that the net proceeds from (i) the sale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units in this offering, after deducting offering expenses of $3,000,000, underwriting commissions of $17,500,000, or $20,125,000 if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over-allotment option is exercised in full (excluding deferred underwriting commissions of $30,625,000, or $35,218,750 if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over-allotment option is exercised in full), and (ii) the sale of the private placement warrants for a purchase price of $22,500,000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$25,125,000 if the underwriters’ over-allotment option is exercised in full) will be $877,000,000 (or $1,008,250,000 if the underwriters’ over-allotment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is exercised in full). $875,000,000 (or $1,006,250,000 if the underwriters’ over-allotment option is exercised in full) will be held in the 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which includes the deferred underwriting commissions described above. The proceeds held in the trust account will be invested only in 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government treasury obligations with a maturity of 185 days or less or in money market funds meeting certain conditions under Rule 2a-7 under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Investment Company Act which invest only in direct U.S. government treasury obligations. The remaining $2,000,000 will not be held in the 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In the event that our offering expenses exceed our estimate of $3,000,000, we may fund such excess with funds not to be held in the 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In such case, the amount of funds we intend to be held outside the trust account would decrease by a corresponding amount. Conversely,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that the offering expenses are less than our estimate of $3,000,000, the amount of funds we intend to be held outside the trust account would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by a corresponding amount.</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intend to use substantially all of the funds held in the trust account, including any amounts representing interest earned on the trust account (less taxes payable and deferred underwriting commissions), to complete our initial business combination. We may withdraw interest income (if any) to pay income taxes, if any. Our annual income tax obligations will depend on the amount of interest and other income earned on the amounts held in the trust account. We expect the interest income earned on the amount in the trust account (if any)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Prior to the completion of our initial business combination, we will have available to us the $2,000,000 of proceeds held outside the trust account, as well as certain funds from loans from our sponsor. We will use these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5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do not believe we will need to raise additional funds following this offering to meet the expenditures required for operating our business prior to our initial business combination, other than funds available from loans from our sponsor.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$2,000,000 of such loans may be convertible into warrants of the post business combination entity at a price of $1.50 per warrant at the option of the lender. The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87"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expect our primary liquidity requirements during that period to include approximately $1,160,000 for legal, accounting, due diligence, travel and other expenses associated with structuring, negotiating and documenting successful business combinations; $175,000 for legal and accounting fees related to regulatory reporting requirements; $400,000 for office space, administrative and support services; $165,000 for NYSE continued listing fees; and $100,000 for general working capital that will be used for miscellaneous expenses and reserves.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9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If we have not completed our initial business combination within 24 months from the closing of this offering because we do not have sufficient funds available to us, we will be forced to cease operations and liquidate the trust account.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not currently required to maintain an effective system of internal controls as defined by Section 404 of the Sarbanes-Oxley Act. We will be required to comply with the internal control requirements of the Sarbanes- Oxley Act for the fiscal year ending December 31, 2022.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Prior to the closing of this offering, we have not completed an assessment, nor have our auditors tested our systems, of our internal controls. We expect to assess the internal controls of our target business or businesses prior to the completion of our initial business combination and, if necessary, to implement and test additional controls as we may determine are necessary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89"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for financial, accounting and external reporting areas, including segregation of duties;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recording of expenses and liabilities in the period to which they relate;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internal review and approval of accounting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processes, assumptions and conclusions underlying significant estimates;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accounting policies and procedures.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Once our management’s report on internal controls is complete, we will retain our independent auditors to audit and render an opinion on such report when required by Section 404. The independent auditors may identify additional issues concerning a target business’s internal controls while performing their audit of internal control over financial reporting.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 Quarterly Results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June 30, 2021,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our initial public offering or until we are no longer an “emerging growth company,” whichever is earlier.</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60"/>
          </w:cols>
          <w:pgMar w:left="320" w:top="455" w:right="5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PROPOSED 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a blank check company newly incorporated as a Cayman Islands exempted company for the purpose of effecting a merger, share exchange, asset acquisition, share purchase, reorganization or similar business combination with one or more businesses, which we refer to as our initial business combination. Our only activities since inception have been organizational activities and those necessary to prepare for this offering. We have not selected any business combination target and we have not, nor has anyone on our behalf, initiated any substantive discussions, directly or indirectly, with any business combination target. Our team has a history of executing transactions in multiple geographies and under varying economic and financial market conditions. Although we may pursue an acquisition in a number of industries or geographies, we intend to capitalize on the broader Ares platform where we believe a combination of our relationships, knowledge and experience across industries can effect a positive transformation or augmentation of an existing business.</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sponsor is an affiliate of Ares, a leading global alternative investment adviser. Given Ares’ investment capabilities, we believe our team has the required investment, operational, due diligence and capital raising resources to effect a business combination with an attractive target and to position it for long-term success in the public markets.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While we may pursue an initial business combination target in any industry or sector, geography, or stage of its corporate evolution, we do not currently contemplate targeting a company in the fossil fuel energy industry, including the upstream, midstream and energy services sub-sectors, and we intend to focus our search in North America, Europe or Asia. We will pursue an initial business combination with an established business with scale, attractive growth prospects and sustainable competitive advantages. We believe there is a large universe of such businesses that could benefit from a public listing, and that we will be able to offer a differentiated and compelling value proposition to them.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Sponsor and Ares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sponsor is an affiliate of Ares, a leading, publicly traded, global alternative investment manager with approximately $262 billion of assets under management and approximately 2,000 employees in over 30 global offices as of June 30, 2021 (which includes approximately $13.7 billion of AUM and approximately 299 employees across eight offices as of June 30, 2021 for the acquisition of Black Creek Group, which closed on July 1, 2021). Ares operates integrated groups across Credit, Private Equity, Real Estate and Strategic Initiatives and offers its investors a range of investment strategies and seeks to deliver attractive performance to a growing investor base that includes over 1,780 direct institutional relationships and a significant retail investor base across its publicly traded and sub-advised funds. Since its inception in 1997, Ares has adhered to a disciplined investment philosophy that focuses on delivering strong risk-adjusted investment returns through market cycles. Ares believes each of its distinct but complementary investment groups is a market leader based on assets under management and investment performance.</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Ares operates as an integrated investment platform with a collaborative culture that emphasizes sharing of knowledge and expertise. Ares believes the exchange of information enhances its ability to analyze investments, deploy capital and improve the performance of its funds and portfolio companies. Through collaboration, Ares drives value by leveraging its capital markets relationships and access to deal flow.</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AAC II will benefit directly and indirectly from its affiliation with the broader Ares organization through access to corporate and private relationships, sector expertise and the engagement of senior investment professionals leading the origination and execution of potential business combinations. While we will seek to utilize the entire Ares platform, we believe that the experience and capabilities of the Ares Private Equity Group and Ares Credit Group will be most relevant and critical to our success, particularly in sourcing and evaluating potential business combination opportunities. In addition, an affiliate of Ares has sponsored another special purpose acquisition company, AAC, that completed its initial public offering on February 4, 2021. AAC has not yet announced an initial business combination.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Ares Private Equity Group has achieved attractive investment returns for its limited partners and, as of June 30, 2021, had $30.7 billion of AUM. The Private Equity Group broadly categorizes its investment activities into four strategies: Corporate Private Equity, Infrastructure and Power, Special Opportunities and Energy Opportunities. Ares Private Equity professionals have a demonstrated ability to deploy flexible capital, which allows them to stay both active and disciplined in various market environments. The group’s activities are managed by three dedicated investment teams in North America, Europe and China. The group manages flagship funds focused primarily on North America and, to a lesser extent, Europe, special opportunities funds, infrastructure and power funds and growth funds in China.</w:t>
      </w:r>
    </w:p>
    <w:p>
      <w:pPr>
        <w:spacing w:after="0" w:line="187"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Ares Corporate Private Equity strategy team is organized in teams of dedicated industry pods with deep sector expertise and relationships, which the entire Ares Private Equity Group leverages for sourcing and execution of investment opportunities. Certain of Ares Private Equity Group’s senior investment professionals have been working together since 1990 and raised their first corporate private equity fund in 2003. Since then, the team has grown to approximately 110 investment professionals on a global basis. In Ares Corporate Private Equity strategy, Ares pursues four principal transaction types: prudently leveraged control buyouts, growth equity, rescue/deleveraging capital and distressed buyouts/discounted debt accumulation.</w:t>
      </w:r>
    </w:p>
    <w:p>
      <w:pPr>
        <w:spacing w:after="0" w:line="16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Ares Credit Group is a leading manager of strategies across the non-investment grade credit universe, with $167.6 billion of AUM and over 200 funds as of June 30, 2021. The Credit Group provides solutions for investors seeking to access a range of credit assets, including liquid credit, alternative credit products and direct lending markets. The Credit Group capitalizes on opportunities across traded and non-traded corporate, consumer and real estate debt across the U.S. and European markets. Additionally, it provides investors access to directly originated fixed and floating rate credit assets and with the ability to capitalize on illiquidity premiums across the credit spectrum.</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Within the Ares Credit Group, Ares’ Direct Lending strategy is one of the largest self-originating direct lenders to the U.S. and European markets, with $116.7 billion of AUM as of June 30, 2021. The Direct Lending platform has a multi-channel origination strategy designed to address a broad set of investment opportunities in the middle market. It focuses on being the lead or sole lender to its portfolio companies, which it believes allows it to exert greater influence over deal terms, capital structure, documentation, fees and pricing, while securing its position as a preferred source of financing for its transaction partners. The global Direct Lending team is comprised of approximately 210 investment professionals as of June 30, 2021. The team covers more than 800 financial sponsors and provides a wide range of financing solutions to middle-market companies that typically range from $10 to $250 million in EBITDA. Given its breadth of coverage and sheer number of lending relationships to private companies, we believe that the relationship network of Ares Direct Lending strategy’s team could be yet another vital source of potential deal origination for us.</w:t>
      </w:r>
    </w:p>
    <w:p>
      <w:pPr>
        <w:spacing w:after="0" w:line="19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Ultimately, we believe Ares’ flexible capital approach, together with the broad resources of its platform, will widen our universe of potential opportunities and allow us to be highly selective in pursuing our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Management Team and Independent Director Nominees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management team is led by David B. Kaplan, our Chief Executive Officer, and Michael J Arougheti, who intend to leverage the resources of Ares to fulfill our corporate mission and also leverage the complementary experience and networks of our independent director nominees, as further described below.</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David B. Kaplan serves as Chief Executive Officer and is Co-Chairman of the board of directors of AAC II. Mr. Kaplan is a Co-Founder of Ares, a Director and Partner of Ares Management Corporation, Co-Chairman of the Ares Private Equity Group and Chief Executive Officer and Co-Chairman of AAC. He is a member of the Ares Executive Management Committee. He additionally serves on the Ares Private Equity Group’s Corporate Opportunities, Asia Private Equity and Special Opportunities Investment Committees.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00"/>
          </w:cols>
          <w:pgMar w:left="320" w:top="455"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Mr. Kaplan joined Ares in 2003 from Shelter Capital Partners, LLC, where he was a Senior Principal from June 2000 to April 2003. From 1991 through 2000, Mr. Kaplan was a Senior Partner of Apollo Management, L.P. and its affiliates, during which time he completed multiple private equity investments from origination through exit. Prior to Apollo Management, L.P., Mr. Kaplan was a member of the Investment Banking Department at Donaldson, Lufkin &amp; Jenrette Securities Corp. Mr. Kaplan currently serves as a member of the boards of directors of New Guitar Center Holdings, Inc., Number Holdings, Inc., the parent entity of 99 Cents Only Stores LLC, CHWR Group GP LLC, the indirect controlling entity of Cooper’s Hawk Winery &amp; Restaurants, Floor and Decor Holdings, Inc. and MYT Netherlands Parent B.V., the parent of Mytheresa GmbH, where he is currently interim Chairman. Mr. Kaplan’s previous public company board of directors experience includes Maidenform Brands, Inc. where he served as the company’s Chairman, GNC Holdings, Inc., Dominick’s Supermarkets, Inc., Stream Global Services, Inc., Orchard Supply Hardware Stores Corporation, Smart &amp; Final, Inc. and Allied Waste Industries Inc. Mr. Kaplan also serves on the board of directors of Cedars-Sinai Medical Center and serves on the President’s Advisory Group of the University of Michigan. Mr. Kaplan graduated with High Distinction, Beta Gamma Sigma, from the University of Michigan, School of Business Administration with a B.B.A. concentrating in Finance.</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Michael J Arougheti serves as Co-Chairman of the board of directors of AAC II. Mr. Arougheti is Co-Founder, Chief Executive Officer and President, Director of Ares and Co-Chairman of AAC. He is a member of the Ares Executive Management Committee. He additionally serves as Co-Chairman of ARCC and as a director of ACRE. Mr. Arougheti also is a member of the Ares Credit Group’s U.S. Direct Lending Investment Committee, the Ares Equity Income Opportunity Strategy Portfolio Review Committee and the Ares Operations Management Group. Prior to joining Ares in 2004, Mr. Arougheti was employed by Royal Bank of Canada from 2001 to 2004, where he was a Managing Partner of the Principal Finance Group of RBC Capital Partners and a member of the firm’s Mezzanine Investment Committee. Mr. Arougheti oversaw an investment team that originated, managed and monitored a diverse portfolio of middle-market leveraged loans, senior and junior subordinated debt, preferred equity and common stock and warrants on behalf of RBC and other third-party institutional investors. Mr. Arougheti joined Royal Bank of Canada in October 2001 from Indosuez Capital, where he was a Principal and an Investment Committee member, responsible for originating, structuring and executing leveraged transactions across a broad range of products and asset classes. Prior to joining Indosuez in 1994, Mr. Arougheti worked at Kidder, Peabody &amp; Co., where he was a member of the firm’s Mergers and Acquisitions Group. Mr. Arougheti serves on the Board of Directors of Operation HOPE, a not-for-profit organization focused on expanding economic opportunity in underserved communities through education and empowerment. He is additionally a member of the PATH Organization Leadership Council. Mr. Arougheti received a B.A. in Ethics, Politics and Economics, cum laude, from Yale University.</w:t>
      </w:r>
    </w:p>
    <w:p>
      <w:pPr>
        <w:spacing w:after="0" w:line="19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past performance of neither our directors and executive officers nor Ares and its affiliates is a guarantee of either (i) success with respect to a business combination that may be consummated or (ii) the ability to successfully identify and execute a transaction. You should not rely on the historical record of management or Ares and its affiliates as indicative of future performance. See “Risk Factors—Past performance by Ares or its affiliates, including our directors and executive officers, including investments and transactions in which they have participated and businesses with which they have been associated, may not be indicative of future performance of an investment in us, and we may be unable to provide positive returns to shareholders.” For a list of our executive officers and entities for which a conflict of interest between such officers and the company may or does exist, please refer to “Management—Conflicts of Interest.”</w:t>
      </w:r>
    </w:p>
    <w:p>
      <w:pPr>
        <w:spacing w:after="0" w:line="189"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AAC completed its initial public offering in February 2021, in which it sold 87,000,000 units each consisting of one Class A ordinary share and one-fifth of one warrant, with each whole warrant entitling the holder thereof to purchase one Class A ordinary share for an offering price of $10.00 per unit. AAC consummated the sale of an additional 13,000,000 Class A ordinary shares units pursuant to the underwriters’ partial exercise of their over-allotment option at a price of $10.00 per unit, generating total gross proceeds of approximately $1 billion. AAC has not yet announced an initial business combination. Mr. Kaplan serves as Chief Executive Officer, Mr. Phillips serves as Chief Financial Officer, Ms. Satin serves as Chief Operating</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Officer and Mr. Ogilvie serves as Executive Vice President of Strategy of AAC. Mr. Kaplan and Mr. Arougheti serve as Co-Chairmen of AAC’s board of directors. We believe that we will benefit from the valuable experience gained by our management team during the launch and operation of AAC, including the process of evaluating numerous target companies and industry sectors.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believe the current environment offers a compelling market opportunity to raise a SPAC of meaningful scale. During 2020 there were 248 SPAC IPOs for total proceeds of approximately $83 billion, which was nearly six times that of prior years. In 2021, there have been 315 SPAC IPOs. Current trends in financial markets, including reduced volatility and strong market sentiment, mean that SPACs remain a compelling strategic alternative for companies seeking a public listing. While becoming a publicly listed company provides significant benefits, companies have been electing to remain private longer for various reasons, including the complexities of the traditional IPO process as well as its inherent uncertainty for the companies pursuing it. This dynamic has helped mold the current market opportunity for SPACs by generating a meaningful backlog of potential IPO candidates. Over the last five years, more than 100 companies filed an S-1 and ultimately did not pursue public listings. Today, SPACs have become a widespread strategic alternative for businesses desiring to access the public markets with a higher degree of certainty and speed, with 117 so-called de-SPAC transactions completed in comparison to 114 traditional IPOs in 2021, and an average of 46 de-SPAC business combinations per year from 2018 through 2020.</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Business Strategy and Competitive Advantage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currently intend to identify, acquire and manage a high quality business that can benefit from our global investment presence, strong self-origination capabilities and underwriting experience to drive ongoing value creation post-business combination in the public markets. Although we may pursue an acquisition opportunity in any business industry or sector, we do not currently contemplate targeting a company in the fossil fuel energy industry, including the upstream, midstream and energy services sub-sectors. We intend to capitalize on the ability of our management team and Ares to identify opportunities that have the potential to benefit from the Ares platform and generate attractive risk-adjusted returns for our shareholders. More specifically, we believe Ares offers the following key advantages, which can help us identify and complete a successful business combination:</w:t>
      </w:r>
    </w:p>
    <w:p>
      <w:pPr>
        <w:spacing w:after="0" w:line="89" w:lineRule="exact"/>
        <w:rPr>
          <w:sz w:val="20"/>
          <w:szCs w:val="20"/>
          <w:color w:val="auto"/>
        </w:rPr>
      </w:pPr>
    </w:p>
    <w:p>
      <w:pPr>
        <w:ind w:left="1080" w:right="60" w:hanging="424"/>
        <w:spacing w:after="0" w:line="254"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Global and Scaled Investing Presence with Highly Collaborative Culture: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manages approximately $262 billion of assets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with approximately 695 investment professionals across more than 30 offices as of June 30, 2021 (which includes approximately $13.7 billion of AUM with 108 investment professionals across eight offices as of June 30, 2021 for the acquisition of Black Creek Group, which closed on July 1, 2021). This has the potential to create meaningful advantages to source attractive transactions across various investment strategies. Ares promotes collaboration amongst its investment professionals to share ideas and information across the groups, which further enables it to effectively source, evaluate and manage investments. Ares believes this exchange of information enhances its ability to analyze investments, deploy capital and improve the performance of its funds. This collaboration takes place on a daily basis and is formally promoted through internal systems and widely attended weekly or monthly meetings. In each case where collaboration across teams and sectors occurs, Ares believes it has a meaningful positive impact on investment decisions.</w:t>
      </w:r>
    </w:p>
    <w:p>
      <w:pPr>
        <w:spacing w:after="0" w:line="93" w:lineRule="exact"/>
        <w:rPr>
          <w:rFonts w:ascii="Times New Roman" w:cs="Times New Roman" w:eastAsia="Times New Roman" w:hAnsi="Times New Roman"/>
          <w:sz w:val="18"/>
          <w:szCs w:val="18"/>
          <w:color w:val="auto"/>
        </w:rPr>
      </w:pPr>
    </w:p>
    <w:p>
      <w:pPr>
        <w:ind w:left="1080" w:right="40" w:hanging="424"/>
        <w:spacing w:after="0" w:line="257"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Robust Sourcing and Underwriting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investment professionals’ local market presence and ability to effectively cross-source for other investment groups generates a robust pipeline of high-quality investment opportunities across its platform. Ares has active investments in over ~3,900 portfolio companies and over 1,780 direct institutional relationships. Additionally, Ares’ relationship network includes over 800 global private equity sponsor relationships for whom Ares is a key direct lending relationship, as well as privately held companies, investment advisors, boutique investment banks, law firms, consultants and other parties. Given AAC II has a broad mandate to pursue opportunities across geographies, Ares’ local presence in the U.S., Europe and Asia further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82" w:lineRule="auto"/>
        <w:rPr>
          <w:sz w:val="20"/>
          <w:szCs w:val="20"/>
          <w:color w:val="auto"/>
        </w:rPr>
      </w:pPr>
      <w:r>
        <w:rPr>
          <w:rFonts w:ascii="Times New Roman" w:cs="Times New Roman" w:eastAsia="Times New Roman" w:hAnsi="Times New Roman"/>
          <w:sz w:val="18"/>
          <w:szCs w:val="18"/>
          <w:color w:val="auto"/>
        </w:rPr>
        <w:t>differentiates its origination capabilities. AAC II is expected to benefit from Ares’ broad market presence, which has the potential to drive deal flow and allow for asset selectivity.</w:t>
      </w:r>
    </w:p>
    <w:p>
      <w:pPr>
        <w:spacing w:after="0" w:line="63" w:lineRule="exact"/>
        <w:rPr>
          <w:sz w:val="20"/>
          <w:szCs w:val="20"/>
          <w:color w:val="auto"/>
        </w:rPr>
      </w:pPr>
    </w:p>
    <w:p>
      <w:pPr>
        <w:ind w:left="1080" w:right="180" w:hanging="424"/>
        <w:spacing w:after="0" w:line="25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Extensive Market Knowledge: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its integrated investment framework, Ares has established deep and sophisticated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capabilities in approximately 55 industries with insights from active and previous investments. Further, its extensive network of investment professionals includes local and geographically positioned individuals with the knowledge, experience and relationships that enable them to identify and take advantage of a wide range of investment opportunities. This extensive market knowledge has a meaningful impact on investment decisions and facilitates a more holistic view of a transaction. We believe Ares’ broad and deep interdependencies and its research and operational infrastructure well-positions AAC II to complete a successful business combination transaction.</w:t>
      </w:r>
    </w:p>
    <w:p>
      <w:pPr>
        <w:spacing w:after="0" w:line="88"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Public Markets Experience through Portfolio Exits and Ares Vehicles: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has a successful track record of portfolio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monetizations in its Private Equity business through initial public offerings, including Mytheresa, The AZEK Company, Inc., Floor &amp; Decor Holdings, Inc., GNC Holdings, Inc., Maidenform Brands, Inc., Smart &amp; Final Stores, Inc. and others. Additionally, Ares is publicly-listed on the NYSE and certain of its subsidiaries act as the external manager for three publicly-traded investment vehicles. Furthermore, Ares’ publicly traded entities and their affiliates, including ARCC, ACRE, AAC and ARDC, account for approximately $35.9 billion of AUM as of June 30, 2021 and have a long track record as fiduciaries of capital for over 610 institutional investors and over 200,000 retail investor accounts. We believe Ares’ prior experience, combined with its robust public investor relations capabilities, will benefit AAC II following a business combination.</w:t>
      </w:r>
    </w:p>
    <w:p>
      <w:pPr>
        <w:spacing w:after="0" w:line="90"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Deep Value Creation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members of the Ares platform have extensive experience working closely with management teams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board members to assist with ongoing value creation and have gained experience managing AAC. By leveraging this experience, we believe AAC II is well-positioned to understand key trends, assess areas of revenue and margin upside, detect potential risks and structure transactions to maximize the potential for value creation. AAC II will have access to Ares’ network of high-quality, well-respected third-party operating advisors who are well equipped to maximize value creation post-business combination. Given Ares’ meaningful public investor relations capabilities, AAC II can prepare and support a target’s successful operation in the public markets. Additionally, Ares has a dedicated team focused on ESG factors that can further enhance AAC II’s impact for various stakeholders.</w:t>
      </w:r>
    </w:p>
    <w:p>
      <w:pPr>
        <w:spacing w:after="0" w:line="88" w:lineRule="exact"/>
        <w:rPr>
          <w:rFonts w:ascii="Times New Roman" w:cs="Times New Roman" w:eastAsia="Times New Roman" w:hAnsi="Times New Roman"/>
          <w:sz w:val="18"/>
          <w:szCs w:val="18"/>
          <w:color w:val="auto"/>
        </w:rPr>
      </w:pPr>
    </w:p>
    <w:p>
      <w:pPr>
        <w:ind w:left="1080" w:right="160" w:hanging="424"/>
        <w:spacing w:after="0" w:line="26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Capital Structure Optimization and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AAC II may benefit from Ares’ over 1,780 institutional investor relationships across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350 funds, as of June 30, 2021. Ares’ high-quality institutional investor base includes large pension funds, sovereign wealth funds, banks and insurance companies. Additionally, Ares has very strong relationships with many leading commercial and investment banks globally and a track record of successfully accessing the capital markets.</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foregoing examples, past performance of Ares and the Ares funds is not a guarantee either (i) that we will be able to identify a suitable candidate for our initial business combination or (ii) of success with respect to any business combination we may consummate. You should not rely on the historical record of Ares’s, the Ares funds’ or our management’s performance as indicative of our future performance. An investment in us is not an investment in the Ares funds.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Acquisition Criteria</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Consistent with our strategy, we have identified the following general criteria and guidelines that we believe will be important in evaluating prospective target businesses. We will target one or more businesses that we believe have the following core attributes:</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differentiated and sustainable business model with a defensible market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people, processes and culture;</w:t>
      </w:r>
    </w:p>
    <w:p>
      <w:pPr>
        <w:spacing w:after="0" w:line="130" w:lineRule="exact"/>
        <w:rPr>
          <w:rFonts w:ascii="Times New Roman" w:cs="Times New Roman" w:eastAsia="Times New Roman" w:hAnsi="Times New Roman"/>
          <w:sz w:val="18"/>
          <w:szCs w:val="18"/>
          <w:color w:val="auto"/>
        </w:rPr>
      </w:pPr>
    </w:p>
    <w:p>
      <w:pPr>
        <w:ind w:left="5540" w:right="3500" w:hanging="4884"/>
        <w:spacing w:after="0" w:line="454" w:lineRule="auto"/>
        <w:tabs>
          <w:tab w:leader="none" w:pos="10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attractive growth prospects, including an ability to capitalize on positive secular tailwinds; 96</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strong customer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scale and resources to achieve a successful transition into the public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benefit from having a public currency to enhance its ability to grow organically or through M&amp;A;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benefit from Ares’ relationships and deep value creation capabilities.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may pursue an initial business combination target in any business or industry. However, we do not currently contemplate targeting a company in the fossil fuel energy industry, including the upstream, midstream and energy services sub-sectors.</w:t>
      </w:r>
    </w:p>
    <w:p>
      <w:pPr>
        <w:spacing w:after="0" w:line="162" w:lineRule="exact"/>
        <w:rPr>
          <w:sz w:val="20"/>
          <w:szCs w:val="20"/>
          <w:color w:val="auto"/>
        </w:rPr>
      </w:pPr>
    </w:p>
    <w:p>
      <w:pPr>
        <w:ind w:left="120" w:right="220" w:firstLine="440"/>
        <w:spacing w:after="0" w:line="274" w:lineRule="auto"/>
        <w:rPr>
          <w:sz w:val="20"/>
          <w:szCs w:val="20"/>
          <w:color w:val="auto"/>
        </w:rPr>
      </w:pPr>
      <w:r>
        <w:rPr>
          <w:rFonts w:ascii="Times New Roman" w:cs="Times New Roman" w:eastAsia="Times New Roman" w:hAnsi="Times New Roman"/>
          <w:sz w:val="17"/>
          <w:szCs w:val="17"/>
          <w:color w:val="auto"/>
        </w:rPr>
        <w:t>These criteria and guidelines are not intended to be exhaustive. Any evaluation relating to the merits of a particular initial business combination may be based, to the extent relevant, on these general criteria and guidelines as well as other considerations, factors and criteria that our directors and executive officers may deem relevant. We may decide to enter into our initial business combination with a target business that does not meet these criteria and guidelines. If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These communications would be in the form of tender offer documents or proxy solicitation materials that we would file with the SEC.</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Acquisition Process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Ares investment process leverages the power of the Ares platform and an extensive network of professionals across investment areas to identify and source attractive risk adjusted return opportunities while emphasizing capital preservation. Ares utilizes its collective market and company knowledge, proprietary internal industry and company research, third party information and financial modeling to drive fundamental analysis and investment selection. Ares also recognizes the importance of considering ESG factors in its investment process and has adopted an ESG policy for the conduct of its business. Ares works collaboratively with its various underwriting, asset management, legal and compliance teams to appropriately integrate relevant ESG considerations into its investment process.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center of Ares’ investment process is a systematic approach that emphasizes rigorous due diligence at the company and market level in addition to a risk-adjusted return value assessment. This investment process is comprised of five stages: (1) generate a robust pipeline, (2) perform initial screening, (3) conduct due diligence, (4) drive transaction structuring, funding and overall execution, and (5) use a systematic approach to value creation. We will benefit from the same approach as we pursue our initial business combination.</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evaluating a prospective target business, we expect to conduct a thorough due diligence review that may encompass, among other things, meetings with incumbent management and employees, document reviews, interviews of customers and suppliers, inspection of facilities, and a review of financial, operational, legal and other information about the target and its industry. We will also utilize our operational and capital planning experience.</w:t>
      </w:r>
    </w:p>
    <w:p>
      <w:pPr>
        <w:spacing w:after="0" w:line="15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Ares, our sponsor, or our officers or directors. In the event we seek to complete our initial business combination with a company that is affiliated with Ares, our sponsor, officers or directors, we, or a committee of independent directors, will obtain an opinion that our initial business combination is fair to our company from a financial point of view from either an independent investment banking firm or an independent accounting firm.</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directors and executive officers may directly or indirectly own our ordinary shares or private placement warrants following this offering, and, accordingly, may have a conflict of interest in determining whether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particular target business is an appropriate business with which to effectuate our initial business combination. Further, 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 Certain members of our management team and directors have fiduciary duties to AAC. Accordingly, if any of our officers or directors becomes aware of a business combination opportunity that is suitable for an entity, including AAC and/or any other Ares entity, to which he or she has then-current fiduciary or contractual obligations, he or she will honor his or her fiduciary or contractual obligations to present such opportunity to such other entity, including AAC and/or any other Ares entity, subject to their fiduciary duties under Cayman Islands law. If these entities decide to pursue any such opportunity, we may be precluded from pursuing such opportunities. As a result, AAC may be given priority over us with respect to business combination opportunities.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initial business combination must occur with one or more target businesses that together have an aggregate fair market value of at least 80% of the assets held in the trust account (excluding the amount of deferred underwriting discounts held in the trust account and taxes payable on the income earned on the trust account) at the time of signing the agreement to enter into the initial business combination. If our board of directors is not able to independently determine the fair market value of the target business or businesses, or if we are considering an initial business combination with an affiliated entity, we will obtain an opinion with respect to the satisfaction of such criteria from an independent investment banking firm or an independent accounting firm. We do not intend to purchase multiple businesses in unrelated industries in conjunction with our initial business combination. We also will not be permitted to effectuate our initial business combination with another blank check company or a similar company with nominal operations. Subject to these limitations, our directors and executive officers will have virtually unlimited flexibility in identifying and selecting one or more prospective businesses.</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at our option, pursue an acquisition opportunity jointly with Ares, one or more parties affiliated with Ares, including without limitation, officers and affiliates of Ares, or Ares funds, or investors in such Ares funds. Any such party may co-invest with us in the target business at the time of our initial business combination, or we could raise additional proceeds to complete the acquisition by borrowing from or issuing to such parties a class of equity or debt securities. The amount and other terms and conditions of any such joint acquisition or specified future issuance would be determined at the time thereof.</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to meet certain objectives of the prior owners of the target business, the target management team or shareholders or for other reasons.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the relative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post-business combination company, the</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portion of such business or businesses that is owned or acquired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To the extent we effect our initial business combination with a company or business that is financially unstable or in its early stages of development or growth, we may be affected by numerous risks inherent in such company or business. Although our directors and executive officers will endeavor to evaluate the risks inherent in a particular target business, we cannot assure you that we will fully ascertain or assess all significant risk factors.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Considerations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currently do not have any specific business combination under consideration. Ares and our directors and executive officers are regularly made aware of potential business combination opportunities, one or more of which we may desire to pursue. However, we have not selected any business combination target and we have not, nor has anyone on our behalf, initiated any substantive discussions, directly or indirectly, with any business combination target.</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Ares manages multiple investment vehicles, and expects to raise additional funds or accounts in the future, including during the period in which we are seeking our initial business combination. These Ares investment entities are expected to be seeking acquisition opportunities and related financings. We may compete with any one or more of them on any given acquisition opportunity.</w:t>
      </w:r>
    </w:p>
    <w:p>
      <w:pPr>
        <w:spacing w:after="0" w:line="176"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 addition, certain of our directors and executive officers currently have, and any of them in the future may have additional, fiduciary and contractual duties to other entities, including without limitation, Ares and the Ares funds or their current or former portfolio companies. These funds may have overlapping investment objectives and potential conflicts may arise with respect to Ares’ decision regarding how to allocate investment opportunities among these funds. If any of our directors and executive officers becomes aware of a business combination opportunity that is suitable for a fund or entity to which he or she has then-current fiduciary or contractual obligations (including, without limitation, any Ares funds or their current or former portfolio companies), then, subject to their fiduciary duties under Cayman Islands law, he or she will need to honor such fiduciary or contractual obligations to present such business combination opportunity to such fund or entity, before we can pursue such opportunity. If Ares, the Ares funds or other entities decide to pursue any such opportunity, we may be precluded from pursuing the same. In addition, investment ideas generated within or presented to Ares or our directors and executive officers may be suitable for both us and Ares, a current or future Ares fund or one or more of their portfolio companies and, subject to applicable fiduciary duties or contractual obligations, will first be directed to Ares, such fund, investment vehicle or portfolio company before being directed, if at all, to us. However, we do not expect these fiduciary duties or contractual obligations to materially affect our ability to complete our initial business combination.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directors and officers or Ares or its affiliates, including the Ares funds, may sponsor, form or participate in other blank check companies similar to ours during the period in which we are seeking an initial business combination. Any such companies may present additional conflicts of interest in pursuing an acquisition target, particularly in the event there is overlap among investment mandates and the director and officer teams. In addition, Ares has sponsored other blank check companies in the past and may sponsor other blank check companies similar to ours during the period in which we are seeking an initial business combination, and members of our management team may participate in such blank check companies. In particular, an affiliate of Ares formed, and such affiliate, Mr. Kaplan, Mr. Arougheti, Mr. Phillips, Ms. Satin and Mr. Ogilvie are actively engaged in, AAC, a special purpose acquisition company that completed its initial public offering in February 2021. AAC, like us, may pursue initial business combination targets in any businesses or industries and has until February 2023 to do so (which date may be extended under certain circumstances). Any such companies, including AAC, may present additional conflicts of interest in pursuing an acquisition target, particularly if there is overlap among investment mandates and the board and management teams. However, we do not currently expect that any such other blank check company would materially affect our ability to complete our initial business combination.</w:t>
      </w:r>
    </w:p>
    <w:p>
      <w:pPr>
        <w:spacing w:after="0" w:line="19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our officers and directors are not required to commit any specified amount of time to our affairs, and, accordingly, will have conflicts of interest in allocating time among various business activities, including identifying potential business combinations and monitoring the related due diligence. Moreover, our officers and directors including, our chief executive officer, David B. Kaplan are and in the future will be required to commit time and attention to Ares and current and future Ares funds. To the extent any conflict of interest arises between, on the one hand, us and, on the other hand, any of such entities (including, without limitation, arising as a result of certain of officers and directors being required to offer acquisition opportunities to such entities), Ares and its affiliated funds will resolve such conflicts of interest in their sole discretion in accordance with their then existing fiduciary, contractual and other duties and there can be no assurance that such conflict of interest will be resolved in our favor.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executive offices are located at 245 Park Avenue, 44th Floor, New York, New York 10167, and our telephone number is (212) 750-7300.</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9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as a result some investors find our securities unattractive there may be a less active trading market for our securities and the trading prices of our securities may be more volatile.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ind w:left="120" w:right="280" w:firstLine="440"/>
        <w:spacing w:after="0" w:line="281" w:lineRule="auto"/>
        <w:rPr>
          <w:sz w:val="20"/>
          <w:szCs w:val="20"/>
          <w:color w:val="auto"/>
        </w:rPr>
      </w:pPr>
      <w:r>
        <w:rPr>
          <w:rFonts w:ascii="Times New Roman" w:cs="Times New Roman" w:eastAsia="Times New Roman" w:hAnsi="Times New Roman"/>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June 30th of that fiscal year, and (2) the date on which we have issued more than $1.0 billion in non-convertible debt securities during the prior three-year period.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With funds available for a business combination initially in the amount of $846,375,000, after payment of the estimated expenses of this offering and $30,625,000 of deferred underwriting fees (or $973,031,250 after payment of $35,218,750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Effecting Our Initial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the sale of the private placement warrants, our equity,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have not selected any business combination target and we have not, nor has anyone on our behalf, initiated any substantive discussions, directly or indirectly, with any business combination target. Additionally, we have not engaged or retained any agent or other representative to identify or locate any suitable target business, to conduct any research or take any measures, directly or indirectly, to locate or contact a target business, other than our officers and directors. Accordingly, there is no current basis for investors in this offering to evaluate the possible merits or risks of the target business with which we may ultimately complete our initial business combination. Although our directors and executive officers will assess the risks inherent in a particular target business with which we may combine, we cannot assure you that this assessment will result in our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Sources of Target Businesses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Our process of identifying acquisition targets will leverage Ares’ and our directors and executive officers’ industry experiences, proven deal sourcing capabilities and broad and deep network of relationships in numerous industries, including executives and management teams, private equity groups and other institutional investors, large business enterprises, lenders, investment bankers and other investment market participants, restructuring advisers, consultants, attorneys and accountants, which we believe should provide us with a number of business combination opportunities. We expect that the collective experience, capability and network of Ares and our directors and executive officers, combined with their individual and collective reputations in the investment community, will help to create prospective business combination opportunities.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anticipate that target business candidates will be brought to our attention from various unaffiliated sources, including investment market participants and private equity groups, investment banking firms, consultants, accounting firms and large business enterprises.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w:t>
      </w:r>
    </w:p>
    <w:p>
      <w:pPr>
        <w:spacing w:after="0" w:line="19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While we do not presently anticipate engaging the services of professional firms or other individuals that specialize in business acquisitions on any formal basis, we may engage these firms, including one of the underwriters or one of their respective affiliates, or other individuals in the future, in which event we may pay a finder’s fee, consulting fee or other compensation to be determined in an arm’s length negotiation based on the terms of the transaction. In addition, the underwriters may provide these services without additional compensation. We will formally engage a finder only to the extent our directors and executive officers determines that the use of a finder may bring opportunities to us that may not otherwise be available to us or if finders approach us on an unsolicited basis with a potential transaction that our directors and executive officers determine is in our best interest to pursue. Payment of finder’s fees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prior to, or for any services they render to effectuate, the completion of our initial business combination (regardless of the type of transaction that it is). However, certain affiliates of our sponsor will be entitled to reimbursement for any out-of-pocket expenses (or an allocable portion thereof), to the extent that such affiliates incur expenses for services provided to us before our initial business combination. We have agreed to pay an affiliate of our sponsor a total of $16,667 per month for office space, utilities and secretarial and administrative support and to reimburse our sponsor for 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out-of-pocket expenses related to identifying, investigating and completing an initial business combination. Some of our officers and directors may enter into employment or consulting agreements with the post-business combination company following our initial business combination. The presence or absence of any such fees or arrangements will not be used as a criterion in our selection process of a target business.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business combination target that is affiliated with our sponsor, officers or directors, or from making the acquisition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 banking firm or an independent accounting firm, that such an initial business combination is fair to our company from a financial point of view. We are not required to obtain such an opinion in any other context.</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Certain of our directors and executive officers currently have, and any of them in the future may have additional, fiduciary and contractual duties to other entities, including without limitation, Ares and the Ares funds or their current or former portfolio companies. These funds may have overlapping investment objectives and potential conflicts may arise with respect to Ares’ decision regarding how to allocate investment opportunities among these funds. If any of our directors and executive officers becomes aware of a business combination opportunity that is suitable for a fund or entity to which he or she has then-current fiduciary or contractual obligations (including, without limitation, any Ares funds or their current or former portfolio companies), then, subject to their fiduciary duties under Cayman Islands law, he or she will need to honor such fiduciary or contractual obligations to present such business combination opportunity to such fund or entity, before we can pursue such opportunity. If Ares, the Ares funds or other entities decide to pursue any such opportunity, we may be precluded from pursuing the same. In addition, investment ideas generated within or presented to Ares or our directors and executive officers may be suitable for both us and Ares, a current or future Ares fund or one or more of their portfolio companies and, subject to applicable fiduciary duties or contractual obligations, will first be directed to Ares, such fund, investment vehicle or portfolio company before being directed, if at all, to us. None of Ares or any of our directors and executive officers who are also employed by Ares or its affiliates have any obligation to present us with any opportunity for a potential business combination of which they become aware in their capacities as employees of Ares, its funds or their portfolio companies. However, we do not expect these duties or contractual obligations to materially affect our ability to complete our initial business combination.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Evaluation of a Target Business and Structuring of Our Initial Business Combination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evaluating a prospective target business, we expect to conduct a thorough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company will not pay any consulting fees to our directors and executive officers, or any of their respective affiliates, for services rendered to or in connection with our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Lack of Business Diversification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85" w:lineRule="exact"/>
        <w:rPr>
          <w:sz w:val="20"/>
          <w:szCs w:val="20"/>
          <w:color w:val="auto"/>
        </w:rPr>
      </w:pPr>
    </w:p>
    <w:p>
      <w:pPr>
        <w:ind w:left="1080" w:right="1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depend on the marketing and sale of a single product or limited number of products or services.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Limited Ability to Evaluate the Target’s Management Team</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our directors and executive officers, if any, in the target business cannot presently be stated with any certainty. The determination as to whether any of our directors and executive officers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our directors and executive officers will have significant experience or knowledge relating to the operations of the particular target business.</w:t>
      </w:r>
    </w:p>
    <w:p>
      <w:pPr>
        <w:spacing w:after="0" w:line="19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May Not Have the Ability to Approve Our Initial Business Combination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law or applicable stock exchange rule, or we may decide to seek shareholder approval for business or other legal reasons.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NYSE listing rules, shareholder approval would be required for our initial business combination if, for example:</w:t>
      </w:r>
    </w:p>
    <w:p>
      <w:pPr>
        <w:spacing w:after="0" w:line="131" w:lineRule="exact"/>
        <w:rPr>
          <w:sz w:val="20"/>
          <w:szCs w:val="20"/>
          <w:color w:val="auto"/>
        </w:rPr>
      </w:pPr>
    </w:p>
    <w:p>
      <w:pPr>
        <w:ind w:left="1080" w:right="2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ordinary shares that will be equal to or in excess of 20% of the number of our ordinary shares then outstanding (other than in a public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61"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officers or substantial security holder (as defined by the rules) has a 5% or greater interest, directly or indirectly, in the target business or assets to be acquired or otherwise and the present or potential issuance of ordinary shares could result in an increase in issued and outstanding ordinary shares or voting power of 1% or more (or 5% or more if the related party involved is classified as such solely because such person is a substantial security holder);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potential issuance of ordinary shares will result in our undergoing a change of control.</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decision as to whether we will seek shareholder approval of a proposed business combination in those instances in which shareholder approval is not required by law will be made by us, solely in our discretion, and will be based on business and legal reasons, which include a variety of factors, including, but not limited to:</w:t>
      </w:r>
    </w:p>
    <w:p>
      <w:pPr>
        <w:spacing w:after="0" w:line="81" w:lineRule="exact"/>
        <w:rPr>
          <w:sz w:val="20"/>
          <w:szCs w:val="20"/>
          <w:color w:val="auto"/>
        </w:rPr>
      </w:pPr>
    </w:p>
    <w:p>
      <w:pPr>
        <w:ind w:left="108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transaction, including in the event we determine shareholder approval would require additional time and there is either not enough time to seek shareholder approval or doing so would place the company at a disadvantage in the transaction or result in other additional burdens on the company;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of holding a shareholder vote;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shareholders would fail to approve the proposed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time and budget constraints of the company; and</w:t>
      </w:r>
    </w:p>
    <w:p>
      <w:pPr>
        <w:spacing w:after="0" w:line="130" w:lineRule="exact"/>
        <w:rPr>
          <w:rFonts w:ascii="Times New Roman" w:cs="Times New Roman" w:eastAsia="Times New Roman" w:hAnsi="Times New Roman"/>
          <w:sz w:val="18"/>
          <w:szCs w:val="18"/>
          <w:color w:val="auto"/>
        </w:rPr>
      </w:pPr>
    </w:p>
    <w:p>
      <w:pPr>
        <w:ind w:left="1080" w:right="9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legal complexities of a proposed business combination that would be time-consuming and burdensome to present to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Permitted Purchases of Our Securities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However, they have no current commitments, plans or intentions to engage in such transactions and have not formulated any terms or conditions for any such transactions. None of the funds in the trust account will be used to purchase public shares or warrants in such transactions. If they engage in such transactions, they will not make any such purchases when they are in possession of any material non-public information not disclosed to the seller or if such purchases are prohibited by Regulation M under the Exchange Act.</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have their shares redeemed.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purpose of any such purchases of shares could be to (i) vote such shares in favor of the business combination and thereby increase the likelihood of obtaining shareholder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sponsor, officers, directors or their affiliates anticipate that they may identify the shareholders with whom our sponsor, officers, directors or their affiliates may pursue privately negotiated purchases by either the shareholders contacting us directly or by our receipt of redemption requests submitted by shareholders (in the case of Class A ordinary shares) following our mailing of proxy materials in connection with our initial business combination. To the extent that our sponsor, officers, directors, advisors or their affiliates enter into a private purchase, they would identify and contact potential selling shareholders who have expressed their election to have their shares redeemed for a pro rata share of the trust account or vote against our initial business combination, whether or not such shareholder has already submitted a proxy with respect to our initial business combination but only if such shares have not already been voted at the shareholder meeting related to our initial business combination. Our sponsor, executive officers, directors, advisors or any of their affiliates will select which shareholders to purchase shares from based on the negotiated price and number of shares and any other factors that they may deem relevant, and will only purchase shares if such purchases comply with Regulation M under the Exchange Act and the other federal securities laws.</w:t>
      </w:r>
    </w:p>
    <w:p>
      <w:pPr>
        <w:spacing w:after="0" w:line="19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sponsor, officers, directors or their affiliates will not make purchases of shares if the purchases would violate Section 9(a)(2) or Rule 10b-5 of the Exchange Act. Any such purchases will be reported pursuant to Section 13 and Section 16 of the Exchange Act to the extent such purchasers are subject to such reporting requirements.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 for Public Shareholders upon Completion of Our Initial Business Combination</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require us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approximately $10.00 per public share. The per share amount we will distribute to investors who properly elect to redeem their shares will not be reduced by the deferred underwriting commissions we will pay to the underwriters. The redemption rights will include the requirement that a beneficial holder must identify itself before we can validly redeem its shares. There will be no redemption rights upon the completion of our initial business combination with respect to our warrants. Our sponsor and each of our directors and executive officers have entered into an agreement with us, pursuant to which they have agreed to waive their redemption rights with respect to any founder shares and any public shares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Redemptions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in no event will we redeem our public shares in an amount that would cause our net tangible assets to be less than $5,000,001 (so that we are not subject to the SEC’s “penny stock” rules). However, the proposed business combination may require: (i) cash consideration to be paid to the target or its owners; (ii) cash to be transferred to the target for working capital or other general corporate purposes; or (iii) the retention of cash to satisfy other conditions in accordance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with the terms of the proposed business combination.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Manner of Conducting Redemptions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require us to redeem all or a portion of their Class A ordinary shares upon the completion of our initial business combination either (i) in connection with a shareholder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our company where we do not survive and any transactions where we issue more than 20% of our issued and outstanding ordinary shares or seek to amend our amended and restated memorandum and articles of association would require shareholder approval. We currently intend to conduct redemptions in connection with a shareholder vote unless shareholder approval is not required by applicable law or stock exchange listing requirement and we choose to conduct redemptions pursuant to the tender offer rules of the SEC for business or other legal reasons. So long as we obtain and maintain a listing for our securities on the NYSE, we will be required to comply with the NYSE rules.</w:t>
      </w:r>
    </w:p>
    <w:p>
      <w:pPr>
        <w:spacing w:after="0" w:line="19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held a shareholder vote to approve our initial business combination, we will, pursuant to our amended and restated memorandum and articles of association:</w:t>
      </w:r>
    </w:p>
    <w:p>
      <w:pPr>
        <w:spacing w:after="0" w:line="67" w:lineRule="exact"/>
        <w:rPr>
          <w:sz w:val="20"/>
          <w:szCs w:val="20"/>
          <w:color w:val="auto"/>
        </w:rPr>
      </w:pPr>
    </w:p>
    <w:p>
      <w:pPr>
        <w:ind w:left="1080" w:right="3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proxy materials with the SEC.</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we seek shareholder approval, we will complete our initial business combination only if we obtain the approval of an ordinary resolution under Cayman Islands law, which requires the affirmative vote of shareholders holding a majority of ordinary shares who attend and vote at a shareholder meeting. In such case, our sponsor has agreed to vote its founder shares and any public shares purchased during or after this offering in favor of our initial business combination. As a result, in addition to our sponsor’s founder shares, we would need 32,812,501 or 37.5% (assuming all outstanding shares are voted and the over-allotment option is not exercised), or 5,468,751 or 6.25% (assuming only the minimum number of shares representing a quorum are voted and the over-allotment option is not exercised), of the 87,500,000 public shares sold in this offering to be voted in favor of an initial business combination to have our initial business combination approved. Each public shareholder may elect to have their public shares redeemed irrespective of whether they vote for or against the proposed transaction. In addition, our sponsor and each of our directors and executive officers have entered into an agreement with us, pursuant to which they have agreed to waive their redemption rights with respect to their founder shares and public shares in connection with (i) the completion of a business combination and (ii) a shareholder vote to approve an amendment to our amended and restated memorandum and articles of association (A) that would modify the substance or timing of our obligation to provide holders of our Class A ordinary shares the right to</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we conduct redemptions pursuant to the tender offer rules of the SEC, we will, pursuant to our amended and restated memorandum and articles of association:</w:t>
      </w:r>
    </w:p>
    <w:p>
      <w:pPr>
        <w:spacing w:after="0" w:line="67"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pursuant to Rule 13e-4 and Regulation 14E of the Exchange Act, which regulate issuer tender offers;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Upon the public announcement of our initial business combination, we or our sponsor will terminate any plan established in accordance with Rule 10b5-1 to purchase Class A ordinary shares in the open market if we elect to redeem our public shares through a tender offer, to comply with Rule 14e-5 under the Exchange Act.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Redemption upon Completion of Our Initial Business Combination If We Seek Shareholder Approval</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which we refer to as “Excess Shares.” We believe this restriction will discourage shareholders from accumulating large blocks of shares, and subsequent attempts by such holders to use their ability to exercise their redemption rights against a proposed business combination as a means to force us or our directors and executive officers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directors and executive officers at a premium to the then-current market price or on other undesirable terms. By limiting our shareholders’ ability to require us to redeem no more than 15% of the shares sold in this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However, we would not be restricting our shareholders’ ability to vote all of their shares (including Excess Shares) for or against our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Tendering Share Certificates in Connection with a Tender Offer or Redemption Rights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Public shareholders seeking to exercise their redemption rights, whether they are record holders or hold their shares in “street name,” will be required to either tender their certificates (if any) to our transfer agent prior to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date set forth in the proxy solicitation or tender offer materials, as applicable, mailed to such holders, or to deliver their shares to the transfer agent electronically using The Depository Trust Company’s DWAC (Deposit/ Withdrawal At Custodian) System, at 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will include the requirement that a beneficial holder must identify itself before we can validly redeem its shares. Accordingly, a public shareholder would have from the time we send out our tender offer materials until the close of the tender offer period, or up to two days prior to the initially scheduled vote on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foregoing is different from the procedures used by many blank check companies.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the business combination until the redeeming holder delivered its certificate. The requirement for physical or electronic delivery prior to the meeting ensures that a redeeming shareholder’s election to require us to redeem is irrevocable once the business combination is approved.</w:t>
      </w:r>
    </w:p>
    <w:p>
      <w:pPr>
        <w:spacing w:after="0" w:line="194"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require us to redeem their shares will be distributed promptly after the completion of our initial business combination.</w:t>
      </w:r>
    </w:p>
    <w:p>
      <w:pPr>
        <w:spacing w:after="0" w:line="168"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our initial business combination is not approved or completed for any reason, then our public shareholders who elected to exercise their redemption rights would not be entitled to require us to redeem their shares for the applicable pro rata share of the trust account. In such case, we will promptly return any certificates delivered by public holders who elected to require us to redeem their shares.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our initial proposed business combination is not completed, we may continue to try to complete a business combination with a different target until 24 months from the closing of this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Public Shares and Liquidation If No Initial Business Combination</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we will have only 24 months from the closing of this offering to consummate an initial business combination. If we have not consummated an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consummate an initial business combination within 24 months from the closing of this offering.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9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sponsor, directors and executive officers have entered into an agreement with us, pursuant to which they have waived their rights to liquidating distributions from the trust account with respect to their founder shares if we fail to consummate an initial business combination within 24 months from the closing of this offering. However, if our sponsor, directors or executive officers acquire public shares in or after this offering, they will be entitled to liquidating distributions from the trust account with respect to such public shares if we fail to consummate an initial business combination within 24 months from the closing of this offering.</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sponsor, executive officers, directors and director nominees have agreed, pursuant to a written agreement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unless we provide our public shareholders with the opportunity to require us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are not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190"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expect that all costs and expenses associated with implementing our plan of dissolution, as well as payments to any creditors, will be funded from amounts remaining out of the $2,000,000 of proceeds held outside the trust account plus up to $100,000 of funds from the trust account available to us to pay dissolution expenses, although we cannot assure you that there will be sufficient funds for such purpose.</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were to expend all of the net proceeds of this offering and the sale of the private placement warrants, other than the proceeds deposited in the trust account, and without taking into account interest, if any, earned 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80"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 xml:space="preserve">Although we will seek to have all material vendors, service providers (except for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to gain an advantage with respect to a claim against our assets, including the funds held in the trust account. If any third party refuses to execute an agreement waiving such claims to the monies held in the trust account, our directors and executive officers will consider whether competitive alternatives are reasonably available to the company and will only enter into an agreement with a third party that has not executed a waiver if our directors and executive officers believe that such third party’s engagement would be in the best interest of the company given the circumstances. Examples of possible instances where we may engage a third party that refuses to execute a waiver include the engagement of a third party consultant whose particular expertise or skills are believed by our directors and executive officers to be significantly superior to those of other consultants that would agree to execute a waiver or in cases where our directors and executive officers are unable to find a service provider willing to execute a waiver. The representatives will not execute an agreement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To protect the amounts held in the trust account, our sponsor has agreed that it will be liable to us if and to the extent any claims by a third party for services rendered or products sold to us (other than our independent registered public accounting firm),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share due to reductions in the value of the trust assets, in each case net of the interest that may be withdrawn to pay our tax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liability will not apply to any claims by a third party or prospective target business that executed a waiver of any and all rights to seek access to the trust account nor will it apply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0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net of the amount of interest which may be withdrawn to pay our income tax obligations, and our sponsor asserts that it 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For example, the cost of such legal action may be deemed by the independent directors to be too high relative to the amount recoverable. Accordingly, we cannot assure you that due to claims of creditors the actual value of the per-share redemption price will not be less than $10.00 per share.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seek to reduce the possibility that our sponsor will have to indemnify the trust account due to claims of creditors by endeavoring to have all material vendors, service providers (except for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$2,000,000 from the proceeds of this offering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 In the event that our offering expenses exceed our estimate of $3,000,000,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$3,000,000, the amount of funds we intend to be held outside the trust account would increase by a corresponding amount.</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share to our public shareholders. Additionally, if we file a bankruptcy petition or an involuntary bankruptcy petition is filed against us that is not dismissed, any distributions received by shareholders could be viewed under applicable debtor/creditor or bankruptcy laws as either a “preferential transfer” or a “fraudulent conveyance.” As a result, a bankruptcy court could seek to recover some or all amounts received by our shareholders. Furthermore, our board of directors may be viewed as having breached its fiduciary duty to our creditors 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public shareholders will be entitled to receive funds from the trust account only (i) in the event of the redemption of our public shares if we do not consummate an initial business combination within 24 months from the closing of this offering, (ii)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or (B) with respect to any other provisions relating to the rights of holders of our Class A ordinary shares, or (iii) if they redeem their respective shares for cash upon the completion of the initial business combination. Public shareholders who elect to have their Class A ordinary shares redeemed in connection with a shareholder vote described in clause (ii) in the preceding sentence shall not be entitled to funds from the trust account upon the subsequent completion of an initial business combination or liquidation if we have not completed an initial business combination within 24 months from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closing of this offering, with respect to such Class A ordinary shares so redeemed. In no other circumstances will a shareholder have any right or interest of any kind to or in the trust account. In the event we seek shareholder approval, we will complete our initial business combination only if we obtain the approval of an ordinary resolution under Cayman Islands law, which requires the affirmative vote of shareholders holding a majority of ordinary shares who attend and vote at a shareholder meeting. A shareholder’s voting in connection with the business combination alone will not result in a shareholder’s requiring us to redeem its shares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293"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Comparison of Redemption or Purchase Prices in Connection with Our Initial Business Combination and If We Fail to Complete Our Initial Business Combination.</w:t>
      </w:r>
    </w:p>
    <w:p>
      <w:pPr>
        <w:spacing w:after="0" w:line="5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compares the redemptions and other permitted purchases of public shares that may take place in connection with the completion of our initial business combination and if we have not consummated an initial business combination within 24 months from the closing of this offering.</w:t>
      </w:r>
    </w:p>
    <w:p>
      <w:pPr>
        <w:sectPr>
          <w:pgSz w:w="11900" w:h="16838" w:orient="portrait"/>
          <w:cols w:equalWidth="0" w:num="1">
            <w:col w:w="11140"/>
          </w:cols>
          <w:pgMar w:left="320" w:top="455" w:right="439" w:bottom="1440" w:gutter="0" w:footer="0" w:header="0"/>
        </w:sectPr>
      </w:pP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 in</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 with</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Our Initial Business</w:t>
            </w:r>
          </w:p>
        </w:tc>
        <w:tc>
          <w:tcPr>
            <w:tcW w:w="0" w:type="dxa"/>
            <w:vAlign w:val="bottom"/>
          </w:tcPr>
          <w:p>
            <w:pPr>
              <w:spacing w:after="0"/>
              <w:rPr>
                <w:sz w:val="1"/>
                <w:szCs w:val="1"/>
                <w:color w:val="auto"/>
              </w:rPr>
            </w:pPr>
          </w:p>
        </w:tc>
      </w:tr>
      <w:tr>
        <w:trPr>
          <w:trHeight w:val="187"/>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Calculation of redemption price</w:t>
            </w: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Combination</w:t>
            </w:r>
          </w:p>
        </w:tc>
        <w:tc>
          <w:tcPr>
            <w:tcW w:w="0" w:type="dxa"/>
            <w:vAlign w:val="bottom"/>
          </w:tcPr>
          <w:p>
            <w:pPr>
              <w:spacing w:after="0"/>
              <w:rPr>
                <w:sz w:val="1"/>
                <w:szCs w:val="1"/>
                <w:color w:val="auto"/>
              </w:rPr>
            </w:pPr>
          </w:p>
        </w:tc>
      </w:tr>
      <w:tr>
        <w:trPr>
          <w:trHeight w:val="191"/>
        </w:trPr>
        <w:tc>
          <w:tcPr>
            <w:tcW w:w="3500" w:type="dxa"/>
            <w:vAlign w:val="bottom"/>
            <w:vMerge w:val="continue"/>
          </w:tcPr>
          <w:p>
            <w:pPr>
              <w:spacing w:after="0"/>
              <w:rPr>
                <w:sz w:val="16"/>
                <w:szCs w:val="16"/>
                <w:color w:val="auto"/>
              </w:rPr>
            </w:pPr>
          </w:p>
        </w:tc>
        <w:tc>
          <w:tcPr>
            <w:tcW w:w="2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Redemptions at the time of our</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initial business combination may</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be made pursuant to a tender</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offer or in connection with a</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shareholder vote. The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redemption price will be the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same whether we conduct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redemptions pursuant to a tender</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offer or in connection with a</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shareholder vote. In either case,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our public shareholders may</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require us to redeem their public</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shares for cash equal to the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aggregate amount then on</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deposit in the trust account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calculated as of two business</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days prior to the consummation</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of the initial business</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combination (which is initially</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anticipated to be $10.00 per</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share), including interest earned</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on the funds held in the trust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account and not previously</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released to us to pay our income</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0" w:type="dxa"/>
            <w:vAlign w:val="bottom"/>
          </w:tcPr>
          <w:p>
            <w:pPr>
              <w:spacing w:after="0"/>
              <w:rPr>
                <w:sz w:val="1"/>
                <w:szCs w:val="1"/>
                <w:color w:val="auto"/>
              </w:rPr>
            </w:pPr>
          </w:p>
        </w:tc>
      </w:tr>
      <w:tr>
        <w:trPr>
          <w:trHeight w:val="365"/>
        </w:trPr>
        <w:tc>
          <w:tcPr>
            <w:tcW w:w="3500" w:type="dxa"/>
            <w:vAlign w:val="bottom"/>
          </w:tcPr>
          <w:p>
            <w:pPr>
              <w:spacing w:after="0"/>
              <w:rPr>
                <w:sz w:val="24"/>
                <w:szCs w:val="24"/>
                <w:color w:val="auto"/>
              </w:rPr>
            </w:pPr>
          </w:p>
        </w:tc>
        <w:tc>
          <w:tcPr>
            <w:tcW w:w="2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Other Permitted</w:t>
      </w:r>
    </w:p>
    <w:p>
      <w:pPr>
        <w:jc w:val="center"/>
        <w:ind w:left="-59"/>
        <w:spacing w:after="0" w:line="229" w:lineRule="auto"/>
        <w:rPr>
          <w:sz w:val="20"/>
          <w:szCs w:val="20"/>
          <w:color w:val="auto"/>
        </w:rPr>
      </w:pPr>
      <w:r>
        <w:rPr>
          <w:rFonts w:ascii="Times New Roman" w:cs="Times New Roman" w:eastAsia="Times New Roman" w:hAnsi="Times New Roman"/>
          <w:sz w:val="14"/>
          <w:szCs w:val="14"/>
          <w:b w:val="1"/>
          <w:bCs w:val="1"/>
          <w:color w:val="auto"/>
        </w:rPr>
        <w:t>Purchases of</w:t>
      </w:r>
    </w:p>
    <w:p>
      <w:pPr>
        <w:jc w:val="center"/>
        <w:ind w:left="-59"/>
        <w:spacing w:after="0" w:line="221" w:lineRule="auto"/>
        <w:rPr>
          <w:sz w:val="20"/>
          <w:szCs w:val="20"/>
          <w:color w:val="auto"/>
        </w:rPr>
      </w:pPr>
      <w:r>
        <w:rPr>
          <w:rFonts w:ascii="Times New Roman" w:cs="Times New Roman" w:eastAsia="Times New Roman" w:hAnsi="Times New Roman"/>
          <w:sz w:val="14"/>
          <w:szCs w:val="14"/>
          <w:b w:val="1"/>
          <w:bCs w:val="1"/>
          <w:color w:val="auto"/>
        </w:rPr>
        <w:t>Public Shares</w:t>
      </w:r>
    </w:p>
    <w:p>
      <w:pPr>
        <w:spacing w:after="0" w:line="1"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1534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51"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our sponsor, directors, officers, advisors or their affiliates may purchase shares in privately negotiated transactions or in the open market either prior to or following completion of our initial business combination. There is no limit to the prices that our sponsor, directors, officers, advisors or their affiliates may pay in these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Redemptions if We</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Fail to Complete</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an Initial Business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1465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51" w:lineRule="auto"/>
        <w:rPr>
          <w:sz w:val="20"/>
          <w:szCs w:val="20"/>
          <w:color w:val="auto"/>
        </w:rPr>
      </w:pPr>
      <w:r>
        <w:rPr>
          <w:rFonts w:ascii="Times New Roman" w:cs="Times New Roman" w:eastAsia="Times New Roman" w:hAnsi="Times New Roman"/>
          <w:sz w:val="18"/>
          <w:szCs w:val="18"/>
          <w:color w:val="auto"/>
        </w:rPr>
        <w:t>If we have not consummated an initial business combination within 24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to pay our income taxes, if any, (less up to $100,000 of interest to pay dissolution expenses) divided by the number of the then-outstanding public shares.</w:t>
      </w:r>
    </w:p>
    <w:p>
      <w:pPr>
        <w:sectPr>
          <w:pgSz w:w="11900" w:h="16838" w:orient="portrait"/>
          <w:cols w:equalWidth="0" w:num="3">
            <w:col w:w="6040" w:space="220"/>
            <w:col w:w="2360" w:space="200"/>
            <w:col w:w="2320"/>
          </w:cols>
          <w:pgMar w:left="320" w:top="455" w:right="4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 in</w:t>
            </w:r>
          </w:p>
        </w:tc>
      </w:tr>
      <w:tr>
        <w:trPr>
          <w:trHeight w:val="149"/>
        </w:trPr>
        <w:tc>
          <w:tcPr>
            <w:tcW w:w="350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 with</w:t>
            </w:r>
          </w:p>
        </w:tc>
      </w:tr>
      <w:tr>
        <w:trPr>
          <w:trHeight w:val="148"/>
        </w:trPr>
        <w:tc>
          <w:tcPr>
            <w:tcW w:w="350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Our Initial Business</w:t>
            </w:r>
          </w:p>
        </w:tc>
      </w:tr>
      <w:tr>
        <w:trPr>
          <w:trHeight w:val="187"/>
        </w:trPr>
        <w:tc>
          <w:tcPr>
            <w:tcW w:w="3500" w:type="dxa"/>
            <w:vAlign w:val="bottom"/>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Combination</w:t>
            </w:r>
          </w:p>
        </w:tc>
      </w:tr>
      <w:tr>
        <w:trPr>
          <w:trHeight w:val="191"/>
        </w:trPr>
        <w:tc>
          <w:tcPr>
            <w:tcW w:w="3500" w:type="dxa"/>
            <w:vAlign w:val="bottom"/>
          </w:tcPr>
          <w:p>
            <w:pPr>
              <w:spacing w:after="0"/>
              <w:rPr>
                <w:sz w:val="16"/>
                <w:szCs w:val="16"/>
                <w:color w:val="auto"/>
              </w:rPr>
            </w:pPr>
          </w:p>
        </w:tc>
        <w:tc>
          <w:tcPr>
            <w:tcW w:w="2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if any, divided by the number of</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the then-outstanding public</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the limitation</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that no redemptions will take</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place if all of the redemptions</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would cause our net tangible</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assets to be less than $5,000,001</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and any limitations (including</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but not limited to cash</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requirements) agreed to in</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connection with the negotiation</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of terms of a proposed business</w:t>
            </w:r>
          </w:p>
        </w:tc>
      </w:tr>
      <w:tr>
        <w:trPr>
          <w:trHeight w:val="234"/>
        </w:trPr>
        <w:tc>
          <w:tcPr>
            <w:tcW w:w="35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combination.</w:t>
            </w:r>
          </w:p>
        </w:tc>
      </w:tr>
      <w:tr>
        <w:trPr>
          <w:trHeight w:val="306"/>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Impact to remaining shareholders</w:t>
            </w: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The redemptions in connection</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with our initial business</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combination will reduce the</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 for our</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w w:val="99"/>
              </w:rPr>
              <w:t>remaining shareholders, who will</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bear the burden of the deferred</w:t>
            </w:r>
          </w:p>
        </w:tc>
      </w:tr>
      <w:tr>
        <w:trPr>
          <w:trHeight w:val="216"/>
        </w:trPr>
        <w:tc>
          <w:tcPr>
            <w:tcW w:w="35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commissions and</w:t>
            </w:r>
          </w:p>
        </w:tc>
      </w:tr>
      <w:tr>
        <w:trPr>
          <w:trHeight w:val="234"/>
        </w:trPr>
        <w:tc>
          <w:tcPr>
            <w:tcW w:w="35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Other Permitted</w:t>
      </w:r>
    </w:p>
    <w:p>
      <w:pPr>
        <w:jc w:val="center"/>
        <w:ind w:left="-19"/>
        <w:spacing w:after="0" w:line="229" w:lineRule="auto"/>
        <w:rPr>
          <w:sz w:val="20"/>
          <w:szCs w:val="20"/>
          <w:color w:val="auto"/>
        </w:rPr>
      </w:pPr>
      <w:r>
        <w:rPr>
          <w:rFonts w:ascii="Times New Roman" w:cs="Times New Roman" w:eastAsia="Times New Roman" w:hAnsi="Times New Roman"/>
          <w:sz w:val="14"/>
          <w:szCs w:val="14"/>
          <w:b w:val="1"/>
          <w:bCs w:val="1"/>
          <w:color w:val="auto"/>
        </w:rPr>
        <w:t>Purchases of</w:t>
      </w:r>
    </w:p>
    <w:p>
      <w:pPr>
        <w:jc w:val="center"/>
        <w:ind w:left="-19"/>
        <w:spacing w:after="0" w:line="221" w:lineRule="auto"/>
        <w:rPr>
          <w:sz w:val="20"/>
          <w:szCs w:val="20"/>
          <w:color w:val="auto"/>
        </w:rPr>
      </w:pPr>
      <w:r>
        <w:rPr>
          <w:rFonts w:ascii="Times New Roman" w:cs="Times New Roman" w:eastAsia="Times New Roman" w:hAnsi="Times New Roman"/>
          <w:sz w:val="14"/>
          <w:szCs w:val="14"/>
          <w:b w:val="1"/>
          <w:bCs w:val="1"/>
          <w:color w:val="auto"/>
        </w:rPr>
        <w:t>Public 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1534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52" w:lineRule="auto"/>
        <w:rPr>
          <w:sz w:val="20"/>
          <w:szCs w:val="20"/>
          <w:color w:val="auto"/>
        </w:rPr>
      </w:pPr>
      <w:r>
        <w:rPr>
          <w:rFonts w:ascii="Times New Roman" w:cs="Times New Roman" w:eastAsia="Times New Roman" w:hAnsi="Times New Roman"/>
          <w:sz w:val="18"/>
          <w:szCs w:val="18"/>
          <w:color w:val="auto"/>
        </w:rPr>
        <w:t>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200" w:lineRule="exact"/>
        <w:rPr>
          <w:sz w:val="20"/>
          <w:szCs w:val="20"/>
          <w:color w:val="auto"/>
        </w:rPr>
      </w:pPr>
    </w:p>
    <w:p>
      <w:pPr>
        <w:spacing w:after="0" w:line="3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Redemptions if We</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Fail to Complete</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an Initial Business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1465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redemption of our public shares if we fail to complete our initial business combination will reduce the book value per share for the shares held by our sponsor, who will be our only remaining shareholder after such redemptions.</w:t>
      </w:r>
    </w:p>
    <w:p>
      <w:pPr>
        <w:spacing w:after="0" w:line="200" w:lineRule="exact"/>
        <w:rPr>
          <w:sz w:val="20"/>
          <w:szCs w:val="20"/>
          <w:color w:val="auto"/>
        </w:rPr>
      </w:pPr>
    </w:p>
    <w:p>
      <w:pPr>
        <w:sectPr>
          <w:pgSz w:w="11900" w:h="16838" w:orient="portrait"/>
          <w:cols w:equalWidth="0" w:num="3">
            <w:col w:w="6040" w:space="220"/>
            <w:col w:w="2400" w:space="160"/>
            <w:col w:w="2300"/>
          </w:cols>
          <w:pgMar w:left="320" w:top="455" w:right="459" w:bottom="1440" w:gutter="0" w:footer="0" w:header="0"/>
        </w:sectPr>
      </w:pP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This Offering to Those of Blank Check Companies Subject to Rule 419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compares the terms of this offering to the terms of an offering by a blank check company subject to the provisions of Rule</w:t>
      </w:r>
    </w:p>
    <w:p>
      <w:pPr>
        <w:spacing w:after="0" w:line="27" w:lineRule="exact"/>
        <w:rPr>
          <w:sz w:val="20"/>
          <w:szCs w:val="20"/>
          <w:color w:val="auto"/>
        </w:rPr>
      </w:pPr>
    </w:p>
    <w:p>
      <w:pPr>
        <w:ind w:left="120" w:right="40" w:hanging="4"/>
        <w:spacing w:after="0" w:line="255" w:lineRule="auto"/>
        <w:tabs>
          <w:tab w:leader="none" w:pos="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1120"/>
          </w:cols>
          <w:pgMar w:left="320" w:top="455" w:right="459" w:bottom="1440" w:gutter="0" w:footer="0" w:header="0"/>
          <w:type w:val="continuous"/>
        </w:sect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Escrow of offering proceeds</w:t>
            </w:r>
          </w:p>
        </w:tc>
        <w:tc>
          <w:tcPr>
            <w:tcW w:w="1040" w:type="dxa"/>
            <w:vAlign w:val="bottom"/>
          </w:tcPr>
          <w:p>
            <w:pPr>
              <w:spacing w:after="0"/>
              <w:rPr>
                <w:sz w:val="16"/>
                <w:szCs w:val="16"/>
                <w:color w:val="auto"/>
              </w:rPr>
            </w:pPr>
          </w:p>
        </w:tc>
        <w:tc>
          <w:tcPr>
            <w:tcW w:w="34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c>
          <w:tcPr>
            <w:tcW w:w="0" w:type="dxa"/>
            <w:vAlign w:val="bottom"/>
          </w:tcPr>
          <w:p>
            <w:pPr>
              <w:spacing w:after="0"/>
              <w:rPr>
                <w:sz w:val="1"/>
                <w:szCs w:val="1"/>
                <w:color w:val="auto"/>
              </w:rPr>
            </w:pPr>
          </w:p>
        </w:tc>
      </w:tr>
      <w:tr>
        <w:trPr>
          <w:trHeight w:val="191"/>
        </w:trPr>
        <w:tc>
          <w:tcPr>
            <w:tcW w:w="316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3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$875,000,000 of the net proceeds of this</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4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offering and the sale of the private placement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4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warrants will be deposited into a trust account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4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located in the United States with Continental</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4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Stock Transfer &amp; Trust Company acting as</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4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Approximately $744,187,500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ectPr>
          <w:pgSz w:w="11900" w:h="16838" w:orient="portrait"/>
          <w:cols w:equalWidth="0" w:num="2">
            <w:col w:w="7720" w:space="220"/>
            <w:col w:w="3180"/>
          </w:cols>
          <w:pgMar w:left="320" w:top="455" w:right="45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Receipt of interest on escrowed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of securities issued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-626110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16510</wp:posOffset>
            </wp:positionV>
            <wp:extent cx="21685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$875,000,000 of the net proceeds of this offering and the sale of the private placement warrants held in trust will be invested only in U.S. government treasury obligations with a maturity of 185 days or less or in money market funds meeting certain conditions under Rule 2a-7 under the Investment Company Act which invest only in direct U.S. government treasury obligations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(if any) on proceeds from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account to be paid to shareholders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reduced by (i) any income taxes paid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and (ii) in the event of our liquidation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failure to complete our initial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within the allotted time,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$100,000 of net interest that may be released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should we have no or insufficient working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to fund the costs and expenses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dissolution and liquidation.</w:t>
      </w:r>
    </w:p>
    <w:p>
      <w:pPr>
        <w:spacing w:after="0" w:line="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income earned on the trust account) at the time of the agreement to enter into the initial business combination.</w:t>
      </w:r>
    </w:p>
    <w:p>
      <w:pPr>
        <w:spacing w:after="0" w:line="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units are expected to begin trading on or promptly after the date of this prospectus. The Class A ordinary shares and warrants comprising the units will begin separate trading on the 52nd day following the date of this prospectus unless the representatives inform us of their decision to allow earlier separate trading, subject to our having filed</w:t>
      </w:r>
    </w:p>
    <w:p>
      <w:pPr>
        <w:spacing w:after="0" w:line="12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Interest income on funds in escrow account would be held for the sole benefit of investors, unless and only after the funds held in escrow were released to us in connection with our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 trading of the units or the underlying Class A ordinary shares and warrants would be permitted until the completion of a business combination. During this period, the securities would be held in the escrow or trust account.</w:t>
      </w:r>
    </w:p>
    <w:p>
      <w:pPr>
        <w:sectPr>
          <w:pgSz w:w="11900" w:h="16838" w:orient="portrait"/>
          <w:cols w:equalWidth="0" w:num="3">
            <w:col w:w="3640" w:space="680"/>
            <w:col w:w="3400" w:space="220"/>
            <w:col w:w="318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r>
      <w:tr>
        <w:trPr>
          <w:trHeight w:val="191"/>
        </w:trPr>
        <w:tc>
          <w:tcPr>
            <w:tcW w:w="3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Current Report on Form 8-K described</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below and having issued a press release</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announcing when such separate trading will</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9"/>
              </w:rPr>
              <w:t>begin. We will file the Current Report on Form</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8-K promptly after the closing of this offering.</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If the over-allotment option is exercised</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following the initial filing of such Current</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Report on Form 8-K, a second or amended</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Current Report on Form 8-K will be filed to</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provide updated financial information to</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reflect the exercise of the over-allotment</w:t>
            </w:r>
          </w:p>
        </w:tc>
      </w:tr>
      <w:tr>
        <w:trPr>
          <w:trHeight w:val="234"/>
        </w:trPr>
        <w:tc>
          <w:tcPr>
            <w:tcW w:w="3260" w:type="dxa"/>
            <w:vAlign w:val="bottom"/>
          </w:tcPr>
          <w:p>
            <w:pPr>
              <w:spacing w:after="0"/>
              <w:rPr>
                <w:sz w:val="20"/>
                <w:szCs w:val="20"/>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option.</w:t>
            </w:r>
          </w:p>
        </w:tc>
      </w:tr>
      <w:tr>
        <w:trPr>
          <w:trHeight w:val="306"/>
        </w:trPr>
        <w:tc>
          <w:tcPr>
            <w:tcW w:w="3260" w:type="dxa"/>
            <w:vAlign w:val="bottom"/>
          </w:tcPr>
          <w:p>
            <w:pPr>
              <w:spacing w:after="0"/>
              <w:rPr>
                <w:sz w:val="24"/>
                <w:szCs w:val="24"/>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The units will automatically separate into their</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component parts and will not be traded after</w:t>
            </w:r>
          </w:p>
        </w:tc>
      </w:tr>
      <w:tr>
        <w:trPr>
          <w:trHeight w:val="234"/>
        </w:trPr>
        <w:tc>
          <w:tcPr>
            <w:tcW w:w="3260" w:type="dxa"/>
            <w:vAlign w:val="bottom"/>
          </w:tcPr>
          <w:p>
            <w:pPr>
              <w:spacing w:after="0"/>
              <w:rPr>
                <w:sz w:val="20"/>
                <w:szCs w:val="20"/>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9"/>
              </w:rPr>
              <w:t>completion of the initial business combination.</w:t>
            </w:r>
          </w:p>
        </w:tc>
      </w:tr>
      <w:tr>
        <w:trPr>
          <w:trHeight w:val="306"/>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of the warrants</w:t>
            </w: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8"/>
              </w:rPr>
              <w:t>The warrants cannot be exercised until the later</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of 30 days after the completion of our initial</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business combination or twelve months from</w:t>
            </w:r>
          </w:p>
        </w:tc>
      </w:tr>
      <w:tr>
        <w:trPr>
          <w:trHeight w:val="234"/>
        </w:trPr>
        <w:tc>
          <w:tcPr>
            <w:tcW w:w="3260" w:type="dxa"/>
            <w:vAlign w:val="bottom"/>
          </w:tcPr>
          <w:p>
            <w:pPr>
              <w:spacing w:after="0"/>
              <w:rPr>
                <w:sz w:val="20"/>
                <w:szCs w:val="20"/>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the closing of this offering.</w:t>
            </w:r>
          </w:p>
        </w:tc>
      </w:tr>
      <w:tr>
        <w:trPr>
          <w:trHeight w:val="522"/>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Election to remain an investor</w:t>
            </w: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We will provide our public shareholders with</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the opportunity to require us to redeem their</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9"/>
              </w:rPr>
              <w:t>public shares for cash at a per share price equal</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to the aggregate amount then on deposit in the</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trust account calculated as of two business</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days prior to the consummation of our initial</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business combination, including interest</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earned on the funds held in the trust account</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and not previously released to us to pay our</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income taxes, if any, divided by the number of</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the then-outstanding public shares, upon the</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9"/>
              </w:rPr>
              <w:t>completion of our initial business combination,</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subject to the limitations described herein. We</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may not be required by law to hold a</w:t>
            </w:r>
          </w:p>
        </w:tc>
      </w:tr>
      <w:tr>
        <w:trPr>
          <w:trHeight w:val="216"/>
        </w:trPr>
        <w:tc>
          <w:tcPr>
            <w:tcW w:w="3260" w:type="dxa"/>
            <w:vAlign w:val="bottom"/>
          </w:tcPr>
          <w:p>
            <w:pPr>
              <w:spacing w:after="0"/>
              <w:rPr>
                <w:sz w:val="18"/>
                <w:szCs w:val="18"/>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shareholder vote. If we are not required by law</w:t>
            </w:r>
          </w:p>
        </w:tc>
      </w:tr>
      <w:tr>
        <w:trPr>
          <w:trHeight w:val="234"/>
        </w:trPr>
        <w:tc>
          <w:tcPr>
            <w:tcW w:w="3260" w:type="dxa"/>
            <w:vAlign w:val="bottom"/>
          </w:tcPr>
          <w:p>
            <w:pPr>
              <w:spacing w:after="0"/>
              <w:rPr>
                <w:sz w:val="20"/>
                <w:szCs w:val="20"/>
                <w:color w:val="auto"/>
              </w:rPr>
            </w:pPr>
          </w:p>
        </w:tc>
        <w:tc>
          <w:tcPr>
            <w:tcW w:w="4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and do not</w:t>
            </w:r>
          </w:p>
        </w:tc>
      </w:tr>
      <w:tr>
        <w:trPr>
          <w:trHeight w:val="580"/>
        </w:trPr>
        <w:tc>
          <w:tcPr>
            <w:tcW w:w="3260" w:type="dxa"/>
            <w:vAlign w:val="bottom"/>
          </w:tcPr>
          <w:p>
            <w:pPr>
              <w:spacing w:after="0"/>
              <w:rPr>
                <w:sz w:val="24"/>
                <w:szCs w:val="24"/>
                <w:color w:val="auto"/>
              </w:rPr>
            </w:pPr>
          </w:p>
        </w:tc>
        <w:tc>
          <w:tcPr>
            <w:tcW w:w="43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116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warrants could be exercised prior to the completion of a business combination, but securities received and cash paid in connection with the exercise would be deposited in the escrow or trust account</w:t>
      </w:r>
    </w:p>
    <w:p>
      <w:pPr>
        <w:spacing w:after="0" w:line="7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w:t>
      </w:r>
    </w:p>
    <w:p>
      <w:pPr>
        <w:sectPr>
          <w:pgSz w:w="11900" w:h="16838" w:orient="portrait"/>
          <w:cols w:equalWidth="0" w:num="2">
            <w:col w:w="7720" w:space="220"/>
            <w:col w:w="318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r>
      <w:tr>
        <w:trPr>
          <w:trHeight w:val="191"/>
        </w:trPr>
        <w:tc>
          <w:tcPr>
            <w:tcW w:w="3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otherwise decide to hold a shareholder vote,</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we will, pursuant to our amended and restated</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memorandum and articles of association,</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9"/>
              </w:rPr>
              <w:t>conduct the redemptions pursuant to the tender</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offer rules of the SEC and file tender offer</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documents with the SEC which will contain</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substantially the same financial and other</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information about the initial business</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combination and the redemption rights as is</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required under the SEC’s proxy rules. If,</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however, we hold a shareholder vote, we will,</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like many blank check companies, offer to</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redeem shares in conjunction with a proxy</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solicitation pursuant to the proxy rules and not</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pursuant to the tender offer rules. If we seek</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shareholder approval, we will complete our</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initial business combination only if we obtain</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approval of an ordinary resolution under</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Cayman Islands law, which requires the</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affirmative vote of shareholders holding a</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majority of ordinary shares who attend and</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vote at a shareholder meeting. Additionally,</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9"/>
              </w:rPr>
              <w:t>each public shareholder may elect to require us</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 redeem their public shares irrespective of</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whether they vote for or against the proposed</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transaction. Our amended and restated</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memorandum and articles of association will</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require that at least five days’ notice will be</w:t>
            </w:r>
          </w:p>
        </w:tc>
      </w:tr>
      <w:tr>
        <w:trPr>
          <w:trHeight w:val="234"/>
        </w:trPr>
        <w:tc>
          <w:tcPr>
            <w:tcW w:w="3280" w:type="dxa"/>
            <w:vAlign w:val="bottom"/>
          </w:tcPr>
          <w:p>
            <w:pPr>
              <w:spacing w:after="0"/>
              <w:rPr>
                <w:sz w:val="20"/>
                <w:szCs w:val="20"/>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given of any such shareholder meeting.</w:t>
            </w:r>
          </w:p>
        </w:tc>
      </w:tr>
      <w:tr>
        <w:trPr>
          <w:trHeight w:val="30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combination deadline</w:t>
            </w: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8"/>
              </w:rPr>
              <w:t>If we have not consummated an initial business</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combination within 24 months from the</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closing of this offering, we will (i) cease all</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operations except for the purpose of winding</w:t>
            </w:r>
          </w:p>
        </w:tc>
      </w:tr>
      <w:tr>
        <w:trPr>
          <w:trHeight w:val="216"/>
        </w:trPr>
        <w:tc>
          <w:tcPr>
            <w:tcW w:w="3280" w:type="dxa"/>
            <w:vAlign w:val="bottom"/>
          </w:tcPr>
          <w:p>
            <w:pPr>
              <w:spacing w:after="0"/>
              <w:rPr>
                <w:sz w:val="18"/>
                <w:szCs w:val="18"/>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up; (ii) as promptly as reasonably possible but</w:t>
            </w:r>
          </w:p>
        </w:tc>
      </w:tr>
      <w:tr>
        <w:trPr>
          <w:trHeight w:val="234"/>
        </w:trPr>
        <w:tc>
          <w:tcPr>
            <w:tcW w:w="3280" w:type="dxa"/>
            <w:vAlign w:val="bottom"/>
          </w:tcPr>
          <w:p>
            <w:pPr>
              <w:spacing w:after="0"/>
              <w:rPr>
                <w:sz w:val="20"/>
                <w:szCs w:val="20"/>
                <w:color w:val="auto"/>
              </w:rPr>
            </w:pPr>
          </w:p>
        </w:tc>
        <w:tc>
          <w:tcPr>
            <w:tcW w:w="4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not more than ten business</w:t>
            </w:r>
          </w:p>
        </w:tc>
      </w:tr>
      <w:tr>
        <w:trPr>
          <w:trHeight w:val="365"/>
        </w:trPr>
        <w:tc>
          <w:tcPr>
            <w:tcW w:w="3280" w:type="dxa"/>
            <w:vAlign w:val="bottom"/>
          </w:tcPr>
          <w:p>
            <w:pPr>
              <w:spacing w:after="0"/>
              <w:rPr>
                <w:sz w:val="24"/>
                <w:szCs w:val="24"/>
                <w:color w:val="auto"/>
              </w:rPr>
            </w:pPr>
          </w:p>
        </w:tc>
        <w:tc>
          <w:tcPr>
            <w:tcW w:w="43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shareholder. Unless a sufficient number of investors elect to remain investors, all funds on deposit in the escrow account must be returned to all of the investors and none of the securities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7720" w:space="220"/>
            <w:col w:w="318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7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r>
      <w:tr>
        <w:trPr>
          <w:trHeight w:val="191"/>
        </w:trPr>
        <w:tc>
          <w:tcPr>
            <w:tcW w:w="27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days thereafter, redeem 100% of the public</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shares, at a per-share price, payable in cash,</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equal to the aggregate amount then on deposit</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in the trust account, including interest earned</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on the funds held in the trust account and not</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previously released to us to pay our income</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99"/>
              </w:rPr>
              <w:t>taxes, if any, (less up to $100,000 of interest to</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pay dissolution expenses) divided by the</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number of the then-outstanding public shares,</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which redemption will completely extinguish</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public shareholders’ rights as shareholders</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(including the right to receive further</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liquidation distributions, if any); and (iii) as</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promptly as reasonably possible following</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99"/>
              </w:rPr>
              <w:t>such redemption, subject to the approval of our</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remaining shareholders and our board of</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directors, liquidate and dissolve, subject in</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each case, to our obligations under Cayman</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Islands law to provide for claims of creditors</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and in all cases subject to the other</w:t>
            </w:r>
          </w:p>
        </w:tc>
      </w:tr>
      <w:tr>
        <w:trPr>
          <w:trHeight w:val="234"/>
        </w:trPr>
        <w:tc>
          <w:tcPr>
            <w:tcW w:w="2720" w:type="dxa"/>
            <w:vAlign w:val="bottom"/>
          </w:tcPr>
          <w:p>
            <w:pPr>
              <w:spacing w:after="0"/>
              <w:rPr>
                <w:sz w:val="20"/>
                <w:szCs w:val="20"/>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requirements of applicable law.</w:t>
            </w:r>
          </w:p>
        </w:tc>
      </w:tr>
      <w:tr>
        <w:trPr>
          <w:trHeight w:val="306"/>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Release of funds</w:t>
            </w: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Except for the withdrawal of interest income</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(if any) to pay our income taxes, if any, none</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of the funds held in trust will be released from</w:t>
            </w:r>
          </w:p>
        </w:tc>
      </w:tr>
      <w:tr>
        <w:trPr>
          <w:trHeight w:val="234"/>
        </w:trPr>
        <w:tc>
          <w:tcPr>
            <w:tcW w:w="2720" w:type="dxa"/>
            <w:vAlign w:val="bottom"/>
          </w:tcPr>
          <w:p>
            <w:pPr>
              <w:spacing w:after="0"/>
              <w:rPr>
                <w:sz w:val="20"/>
                <w:szCs w:val="20"/>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the trust account until the earliest of:</w:t>
            </w:r>
          </w:p>
        </w:tc>
      </w:tr>
      <w:tr>
        <w:trPr>
          <w:trHeight w:val="319"/>
        </w:trPr>
        <w:tc>
          <w:tcPr>
            <w:tcW w:w="2720" w:type="dxa"/>
            <w:vAlign w:val="bottom"/>
          </w:tcPr>
          <w:p>
            <w:pPr>
              <w:spacing w:after="0"/>
              <w:rPr>
                <w:sz w:val="24"/>
                <w:szCs w:val="24"/>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 the completion of our initial business</w:t>
            </w:r>
          </w:p>
        </w:tc>
      </w:tr>
      <w:tr>
        <w:trPr>
          <w:trHeight w:val="234"/>
        </w:trPr>
        <w:tc>
          <w:tcPr>
            <w:tcW w:w="2720" w:type="dxa"/>
            <w:vAlign w:val="bottom"/>
          </w:tcPr>
          <w:p>
            <w:pPr>
              <w:spacing w:after="0"/>
              <w:rPr>
                <w:sz w:val="20"/>
                <w:szCs w:val="20"/>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combination;</w:t>
            </w:r>
          </w:p>
        </w:tc>
      </w:tr>
      <w:tr>
        <w:trPr>
          <w:trHeight w:val="319"/>
        </w:trPr>
        <w:tc>
          <w:tcPr>
            <w:tcW w:w="2720" w:type="dxa"/>
            <w:vAlign w:val="bottom"/>
          </w:tcPr>
          <w:p>
            <w:pPr>
              <w:spacing w:after="0"/>
              <w:rPr>
                <w:sz w:val="24"/>
                <w:szCs w:val="24"/>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(ii) the redemption of our public shares if we</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have not consummated an initial business</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combination within 24 months from the</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closing of this offering, subject to applicable</w:t>
            </w:r>
          </w:p>
        </w:tc>
      </w:tr>
      <w:tr>
        <w:trPr>
          <w:trHeight w:val="234"/>
        </w:trPr>
        <w:tc>
          <w:tcPr>
            <w:tcW w:w="2720" w:type="dxa"/>
            <w:vAlign w:val="bottom"/>
          </w:tcPr>
          <w:p>
            <w:pPr>
              <w:spacing w:after="0"/>
              <w:rPr>
                <w:sz w:val="20"/>
                <w:szCs w:val="20"/>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law; or</w:t>
            </w:r>
          </w:p>
        </w:tc>
      </w:tr>
      <w:tr>
        <w:trPr>
          <w:trHeight w:val="319"/>
        </w:trPr>
        <w:tc>
          <w:tcPr>
            <w:tcW w:w="2720" w:type="dxa"/>
            <w:vAlign w:val="bottom"/>
          </w:tcPr>
          <w:p>
            <w:pPr>
              <w:spacing w:after="0"/>
              <w:rPr>
                <w:sz w:val="24"/>
                <w:szCs w:val="24"/>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(iii) the redemption of our public shares</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properly submitted in connection with a</w:t>
            </w:r>
          </w:p>
        </w:tc>
      </w:tr>
      <w:tr>
        <w:trPr>
          <w:trHeight w:val="216"/>
        </w:trPr>
        <w:tc>
          <w:tcPr>
            <w:tcW w:w="2720" w:type="dxa"/>
            <w:vAlign w:val="bottom"/>
          </w:tcPr>
          <w:p>
            <w:pPr>
              <w:spacing w:after="0"/>
              <w:rPr>
                <w:sz w:val="18"/>
                <w:szCs w:val="18"/>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shareholder vote to approve an amendment to</w:t>
            </w:r>
          </w:p>
        </w:tc>
      </w:tr>
      <w:tr>
        <w:trPr>
          <w:trHeight w:val="234"/>
        </w:trPr>
        <w:tc>
          <w:tcPr>
            <w:tcW w:w="2720" w:type="dxa"/>
            <w:vAlign w:val="bottom"/>
          </w:tcPr>
          <w:p>
            <w:pPr>
              <w:spacing w:after="0"/>
              <w:rPr>
                <w:sz w:val="20"/>
                <w:szCs w:val="20"/>
                <w:color w:val="auto"/>
              </w:rPr>
            </w:pPr>
          </w:p>
        </w:tc>
        <w:tc>
          <w:tcPr>
            <w:tcW w:w="48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our amended and restated</w:t>
            </w:r>
          </w:p>
        </w:tc>
      </w:tr>
      <w:tr>
        <w:trPr>
          <w:trHeight w:val="378"/>
        </w:trPr>
        <w:tc>
          <w:tcPr>
            <w:tcW w:w="2720" w:type="dxa"/>
            <w:vAlign w:val="bottom"/>
          </w:tcPr>
          <w:p>
            <w:pPr>
              <w:spacing w:after="0"/>
              <w:rPr>
                <w:sz w:val="24"/>
                <w:szCs w:val="24"/>
                <w:color w:val="auto"/>
              </w:rPr>
            </w:pPr>
          </w:p>
        </w:tc>
        <w:tc>
          <w:tcPr>
            <w:tcW w:w="488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118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proceeds held in the escrow account are not released until the earlier of the completion of a business combination or the failure to effect a business combination within the allotted time.</w:t>
      </w:r>
    </w:p>
    <w:p>
      <w:pPr>
        <w:sectPr>
          <w:pgSz w:w="11900" w:h="16838" w:orient="portrait"/>
          <w:cols w:equalWidth="0" w:num="2">
            <w:col w:w="7720" w:space="220"/>
            <w:col w:w="3100"/>
          </w:cols>
          <w:pgMar w:left="320" w:top="455" w:right="5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ind w:left="5320"/>
        <w:spacing w:after="0"/>
        <w:tabs>
          <w:tab w:leader="none" w:pos="8480" w:val="left"/>
        </w:tabs>
        <w:rPr>
          <w:sz w:val="20"/>
          <w:szCs w:val="20"/>
          <w:color w:val="auto"/>
        </w:rPr>
      </w:pPr>
      <w:r>
        <w:rPr>
          <w:rFonts w:ascii="Times New Roman" w:cs="Times New Roman" w:eastAsia="Times New Roman" w:hAnsi="Times New Roman"/>
          <w:sz w:val="14"/>
          <w:szCs w:val="14"/>
          <w:b w:val="1"/>
          <w:bCs w:val="1"/>
          <w:color w:val="auto"/>
        </w:rPr>
        <w:t>Terms of Our Offering</w:t>
      </w:r>
      <w:r>
        <w:rPr>
          <w:sz w:val="20"/>
          <w:szCs w:val="20"/>
          <w:color w:val="auto"/>
        </w:rPr>
        <w:tab/>
      </w: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16510</wp:posOffset>
            </wp:positionV>
            <wp:extent cx="43287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memorandum and articles of association</w:t>
      </w:r>
    </w:p>
    <w:p>
      <w:pPr>
        <w:spacing w:after="0" w:line="19" w:lineRule="exact"/>
        <w:rPr>
          <w:sz w:val="20"/>
          <w:szCs w:val="20"/>
          <w:color w:val="auto"/>
        </w:rPr>
      </w:pPr>
    </w:p>
    <w:p>
      <w:pPr>
        <w:ind w:left="4320" w:right="3460" w:hanging="6"/>
        <w:spacing w:after="0" w:line="251" w:lineRule="auto"/>
        <w:tabs>
          <w:tab w:leader="none" w:pos="46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 See “—Other Considerations.”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currently maintain our executive offices at 245 Park Avenue, 44th Floor, New York, NY 10167. The cost for our use of this space is included in the $16,667 per month fee we will pay to an affiliate of our sponsor for office space, administrative and support services. We consider our current office space adequate for our current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Periodic Reporting and Financial Information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register our units, Class A ordinary shares and warrants under the Exchange Act and have reporting obligations, including the requirement that we file annual, quarterly and current reports with the SEC.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accordance with the requirements of the Exchange Act, our annual reports will contain financial statements audited and reported on by our independent registered public accountants.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target business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target businesses, we do not believe that this limitation will be material.</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be required to evaluate our internal control procedures for the fiscal year ending December 31, 2022 as required by the Sarbanes-Oxley Act.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7"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June 30th of that fiscal year, and (2) the date on which we have issued more than $1.0 billion in non-convertible debt securities during the prior three-year period.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of our directors and executive officers in their capacity as such.</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80"/>
          </w:cols>
          <w:pgMar w:left="320" w:top="455" w:right="5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Officers, Directors and Director Nominees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officers, directors and director nominees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08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20" w:type="dxa"/>
            <w:vAlign w:val="bottom"/>
          </w:tcPr>
          <w:p>
            <w:pPr>
              <w:spacing w:after="0"/>
              <w:rPr>
                <w:sz w:val="16"/>
                <w:szCs w:val="16"/>
                <w:color w:val="auto"/>
              </w:rPr>
            </w:pPr>
          </w:p>
        </w:tc>
        <w:tc>
          <w:tcPr>
            <w:tcW w:w="590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3"/>
        </w:trPr>
        <w:tc>
          <w:tcPr>
            <w:tcW w:w="4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David B. Kaplan</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9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Chief Executive Officer and Co-Chairman</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Arougheti</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Co-Chairman</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Jarrod Phillips</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Allyson Satin</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Ogilvie</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6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Vice President of Strategy</w:t>
            </w:r>
          </w:p>
        </w:tc>
      </w:tr>
    </w:tbl>
    <w:p>
      <w:pPr>
        <w:spacing w:after="0" w:line="19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7"/>
          <w:szCs w:val="17"/>
          <w:color w:val="auto"/>
        </w:rPr>
        <w:t>David B. Kaplan serves as Chief Executive Officer and is a Co-Chairman of the board of directors of AAC II. Mr. Kaplan is a Co-Founder of Ares, a Director and Partner of Ares Management Corporation, Co-Chairman of the Ares Private Equity Group and Chief Executive Officer and Co-Chairman of AAC. He is a member of the Ares Executive Management Committee. He additionally serves on the Ares Private Equity Group’s Corporate Opportunities, Asia Private Equity and Special Opportunities Investment Committees. Mr. Kaplan joined Ares in 2003 from Shelter Capital Partners, LLC, where he was a Senior Principal from June 2000 to April 2003. From 1991 through 2000, Mr. Kaplan was a Senior Partner of Apollo Management, L.P. and its affiliates, during which time he completed multiple private equity investments from origination through exit. Prior to Apollo Management, L.P., Mr. Kaplan was a member of the Investment Banking Department at Donaldson, Lufkin &amp; Jenrette Securities Corp. Mr. Kaplan currently serves as a member of the boards of directors of New Guitar Center Holdings, Inc., Number Holdings, Inc., the parent entity of 99 Cents Only Stores LLC, CHWR Group GP LLC, the indirect controlling entity of Cooper’s Hawk Winery &amp; Restaurants, Floor and Decor Holdings, Inc. and MYT Netherlands Parent B.V., the parent of Mytheresa GmbH, where he is currently interim Chairman. Mr. Kaplan’s previous public company board of directors experience includes Maidenform Brands, Inc. where he served as the company’s Chairman, GNC Holdings, Inc., Dominick’s Supermarkets, Inc., Stream Global Services, Inc., Orchard Supply Hardware Stores Corporation, Smart &amp; Final, Inc. and Allied Waste Industries Inc. Mr. Kaplan also serves on the board of directors of Cedars-Sinai Medical Center and serves on the President’s Advisory Group of the University of Michigan.</w:t>
      </w:r>
    </w:p>
    <w:p>
      <w:pPr>
        <w:spacing w:after="0" w:line="10" w:lineRule="exact"/>
        <w:rPr>
          <w:sz w:val="20"/>
          <w:szCs w:val="20"/>
          <w:color w:val="auto"/>
        </w:rPr>
      </w:pPr>
    </w:p>
    <w:p>
      <w:pPr>
        <w:ind w:left="120" w:right="220"/>
        <w:spacing w:after="0" w:line="253" w:lineRule="auto"/>
        <w:rPr>
          <w:sz w:val="20"/>
          <w:szCs w:val="20"/>
          <w:color w:val="auto"/>
        </w:rPr>
      </w:pPr>
      <w:r>
        <w:rPr>
          <w:rFonts w:ascii="Times New Roman" w:cs="Times New Roman" w:eastAsia="Times New Roman" w:hAnsi="Times New Roman"/>
          <w:sz w:val="18"/>
          <w:szCs w:val="18"/>
          <w:color w:val="auto"/>
        </w:rPr>
        <w:t>Mr. Kaplan graduated with High Distinction, Beta Gamma Sigma, from the University of Michigan, School of Business Administration with a B.B.A. concentrating in Finance. We believe Mr. Kaplan is well qualified to serve as the Co-Chairman of our board of directors due to his knowledge of and extensive experience with leveraged finance, acquisitions and private equity investments, in addition to his service as a director of other public and private companies.</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Michael J Arougheti serves as Co-Chairman of the board of directors of AAC II. Mr. Arougheti is Co-Founder, Chief Executive Officer and President, Director of Ares Management Corporation and Co-Chairman of AAC. He is a member of the Ares Executive Management Committee. He additionally serves as Co-Chairman of ARCC and as a director of ACRE. Mr. Arougheti also is a member of the Ares Credit Group’s U.S. Direct Lending Investment Committee, the Ares Equity Income Opportunity Strategy Portfolio Review Committee and the Ares Operations Management Group. Prior to joining Ares in 2004, Mr. Arougheti was employed by Royal Bank of Canada from 2001 to 2004, where he was a Managing Partner of the Principal Finance Group of RBC Capital Partners and a member of the firm’s Mezzanine Investment Committee. Mr. Arougheti oversaw an investment team that originated, managed and monitored a diverse portfolio of middle-market leveraged loans, senior and junior subordinated debt, preferred equity and common stock and warrants on behalf of RBC and other third-party institutional investors. Mr. Arougheti joined Royal Bank of Canada in October 2001 from Indosuez Capital, where he was a Principal and an Investment Committee member, responsible for originating, structuring and executing leveraged transactions across a broad range of products and asset classes. Prior to joining Indosuez in 1994, Mr. Arougheti worked at Kidder, Peabody &amp; Co., where he was a member of the firm’s Mergers and Acquisitions Group. Mr. Arougheti serves on the Board of Directors of Operation HOPE, a not-for-profit organization focused on expanding economic opportunity in underserved</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communities through education and empowerment. He is additionally a member of the PATH Organization Leadership Council. Mr. Arougheti received a B.A. in Ethics, Politics and Economics, cum laude, from Yale University. We believe Mr. Arougheti is well qualified to serve as the Co-Chairman of our board of directors due to his knowledge of and extensive experience in investment management, leveraged finance and financial services, which give the board valuable industry-specific knowledge and expertise on these and other matters and, in addition to his service as a director of other public companies.</w:t>
      </w:r>
    </w:p>
    <w:p>
      <w:pPr>
        <w:spacing w:after="0" w:line="183"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Jarrod Phillips serves as Chief Financial Officer of AAC II. Mr. Phillips is a Partner and Chief Accounting Officer of Ares Management Corporation and a member of the Management Committee. Mr. Phillips is also the Chief Financial Officer of AAC. Prior to joining Ares in 2016, Mr. Phillips was a Partner at Deloitte &amp; Touche LLP, where he focused on financial services and asset management assurance and advisory services. Mr. Phillips holds a B.S. from Virginia Polytechnic Institute and State University in Accounting. Mr. Phillips holds a CPA license in the State of California.</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Allyson Satin serves as Chief Operating Officer of AAC II. Ms. Satin is a Managing Director of Ares Management Corporation and serves as a member of the Ares Diversity and Inclusion Council. Ms. Satin is also the Chief Operating Officer of AAC. Previously, Ms. Satin was a Principal in the Ares Private Equity Group. Prior to joining the Ares Private Equity Group in 2009, Ms. Satin was an investment banking Analyst in the Global Financial Sponsors Group at Barclays Capital (formerly Lehman Brothers). Ms. Satin currently serves on the Board of Directors of Number Holdings, Inc., the parent entity of 99 Cents Only Stores LLC. Ms. Satin holds a B.S. from the University of California, Berkeley Haas School of Business in Business Administration.</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Peter Ogilvie serves as Executive Vice President of Strategy of AAC II. Mr. Ogilvie is a Partner at Ares Management Corporation and Head of the Ares Corporate Strategy Team. Mr. Ogilvie co-founded the Corporate Strategy Team to drive growth and development across the Ares platform through acquisitions, balance sheet investments, partnerships and new team onboarding. He has led the Corporate Strategy Team’s efforts on numerous transactions including the acquisition of American Capital, Ltd. by Ares Capital Corporation, the business development company managed by Ares, and the formation of Ares’ business partnership with Sumitomo Mitsui Banking Corporation. Mr. Ogilvie is also the Executive Vice President of Strategy of AAC. Mr. Ogilvie serves as a board member for LightPoint Financial Technology and Ares Australia Management. Mr. Ogilvie joined Ares in 2007 in the U.S. Direct Lending Group and previously worked in the Leveraged Finance and Restructuring Group at Credit Suisse. Mr. Ogilvie holds a B.A. from Yale University in Economics.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121"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Our board of directors is divided into three classes, with only one class of directors being elected in each year, and with each class (except for those directors appointed prior to our first annual shareholder meeting) serving a three-year term. In accordance with the NYSE corporate governance requirements, we are not required to hold an annual shareholder meeting until one year after our first fiscal year end following our listing on the NYSE.</w:t>
      </w:r>
    </w:p>
    <w:p>
      <w:pPr>
        <w:spacing w:after="0" w:line="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term of office of the first class of directors, consisting of , will expire at our first annual shareholder meeting. The term of office of the second class of directors, consisting of , will expire at our second annual shareholder meeting. The term of office of the third class of directors, consisting of , will expire at our third annual shareholder meeting.</w:t>
      </w:r>
    </w:p>
    <w:p>
      <w:pPr>
        <w:spacing w:after="0" w:line="18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shareholder meeting which shall include the affirmative vote of a simple majority of our Class B ordinary shares.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Pursuant to an agreement to be entered into concurrently with the issuance and sale of the securities in this offering, our sponsor, upon consummation of an initial business combination, will be entitled to nominate three individuals for election to our board of directors, as long as our sponsor holds any securities covered by the registration and shareholder rights agreement.</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one or more chairman of the board, chief executive officer, president, chief financial officer, vice presidents, secretary, treasurer and such other offices as may be determined by the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NYSE listing standards require that a majority of our board of directors be independent. Our board of directors has determined that “independent directors” as defined in the NYSE listing standards. Our independent directors will have regularly scheduled meetings at which only independent directors are present.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w:t>
      </w:r>
    </w:p>
    <w:p>
      <w:pPr>
        <w:spacing w:after="0" w:line="681" w:lineRule="exact"/>
        <w:rPr>
          <w:sz w:val="20"/>
          <w:szCs w:val="20"/>
          <w:color w:val="auto"/>
        </w:rPr>
      </w:pPr>
    </w:p>
    <w:p>
      <w:pPr>
        <w:sectPr>
          <w:pgSz w:w="11900" w:h="16838" w:orient="portrait"/>
          <w:cols w:equalWidth="0" w:num="2">
            <w:col w:w="10640" w:space="160"/>
            <w:col w:w="320"/>
          </w:cols>
          <w:pgMar w:left="320" w:top="455" w:right="459" w:bottom="1440" w:gutter="0" w:footer="0" w:header="0"/>
          <w:type w:val="continuous"/>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None of our executive officers or directors have received any cash compensation from the company for services rendered to us. Commencing on the date that our securities are first listed on the NYSE through the earlier of consummation of our initial business combination and our liquidation, we will reimburse an affiliate of our sponsor for office space, secretarial and administrative services provided to us in the amount of $16,667 per month.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In addition, certain affiliates of our sponsor will be entitled to reimbursement for any out-of-pocket expenses (or an allocable portion thereof), to the extent that such affiliates incur expenses for services provided to us before our initial business combination. Our audit committee will review on a quarterly basis all payments that were made to our sponsor, executive officers or directors, or our or their affiliates. Any such payments prior to an initial business combination will be made using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76"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After the completion of our initial business combination, directors or executive officers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executive officers.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do not intend to take any action to ensure that our directors and executive officers maintain their positions with us after the consummation of our initial business combination, although it is possible that some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all of our executive officers and directors may negotiate employment or consulting arrangements to remain with us after our initial business combination. The existence or terms of any such employment or consulting arrangements to retain their positions with us may influence our directors and executive officer’s motivation in identifying or selecting a target business but we do not believe that the ability of our directors and executive officers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our board of directors will have three standing committees: an audit committee, a nominating committee and a compensation committee. Subject to phase-in rules and a limited exception, the rules of the NYSE and Rule 10A of the Exchange Act require that the audit committee of a listed company be comprised solely of independent directors. Subject to phase-in rules and a limited exception, the rules of the NYSE require that the compensation committee and the nominating committee of a listed company be comprised solely of independent directors.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establish an audit committee of the board of</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directors. will serve as members of our audit committee. Our board of directors has determined that each of is independent under the NYSE listing standards and applicable SEC rules. will serve as the Chairman of the audit committee. Each member of the audit committee is financially literate and our board of directors has determined that each of qualifies as an “audit committee financial expert” as defined in applicable SEC rules.</w:t>
      </w:r>
    </w:p>
    <w:p>
      <w:pPr>
        <w:spacing w:after="0" w:line="200" w:lineRule="exact"/>
        <w:rPr>
          <w:sz w:val="20"/>
          <w:szCs w:val="20"/>
          <w:color w:val="auto"/>
        </w:rPr>
      </w:pP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audit committee is responsible for:</w:t>
      </w:r>
    </w:p>
    <w:p>
      <w:pPr>
        <w:spacing w:after="0" w:line="131" w:lineRule="exact"/>
        <w:rPr>
          <w:sz w:val="20"/>
          <w:szCs w:val="20"/>
          <w:color w:val="auto"/>
        </w:rPr>
      </w:pPr>
    </w:p>
    <w:p>
      <w:pPr>
        <w:ind w:left="1080" w:right="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public accounting firm regarding, among other issues, audits, and adequacy of our accounting and control systems;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our directors and executive officers our compliance with applicable laws and regulations;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our directors and executive officers and the independent auditor regarding financial reporting) for the purpose of preparing or issuing an audit report or related work;</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08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establish a nominating committee of our board</w:t>
      </w:r>
    </w:p>
    <w:p>
      <w:pPr>
        <w:spacing w:after="0" w:line="27" w:lineRule="exact"/>
        <w:rPr>
          <w:sz w:val="20"/>
          <w:szCs w:val="20"/>
          <w:color w:val="auto"/>
        </w:rPr>
      </w:pPr>
    </w:p>
    <w:p>
      <w:pPr>
        <w:ind w:left="120" w:right="200"/>
        <w:spacing w:after="0" w:line="250" w:lineRule="auto"/>
        <w:rPr>
          <w:sz w:val="20"/>
          <w:szCs w:val="20"/>
          <w:color w:val="auto"/>
        </w:rPr>
      </w:pPr>
      <w:r>
        <w:rPr>
          <w:rFonts w:ascii="Times New Roman" w:cs="Times New Roman" w:eastAsia="Times New Roman" w:hAnsi="Times New Roman"/>
          <w:sz w:val="18"/>
          <w:szCs w:val="18"/>
          <w:color w:val="auto"/>
        </w:rPr>
        <w:t>of directors. The members of our nominating committee will be , and will serve as chairman of the nominating committee. Under the NYSE listing standards, we are required to have a nominating committee composed entirely of independent directors. Our board of directors has</w:t>
      </w:r>
    </w:p>
    <w:p>
      <w:pPr>
        <w:spacing w:after="0" w:line="1" w:lineRule="exact"/>
        <w:rPr>
          <w:sz w:val="20"/>
          <w:szCs w:val="20"/>
          <w:color w:val="auto"/>
        </w:rPr>
      </w:pPr>
    </w:p>
    <w:p>
      <w:pPr>
        <w:ind w:left="120"/>
        <w:spacing w:after="0"/>
        <w:tabs>
          <w:tab w:leader="none" w:pos="2600" w:val="left"/>
        </w:tabs>
        <w:rPr>
          <w:sz w:val="20"/>
          <w:szCs w:val="20"/>
          <w:color w:val="auto"/>
        </w:rPr>
      </w:pPr>
      <w:r>
        <w:rPr>
          <w:rFonts w:ascii="Times New Roman" w:cs="Times New Roman" w:eastAsia="Times New Roman" w:hAnsi="Times New Roman"/>
          <w:sz w:val="18"/>
          <w:szCs w:val="18"/>
          <w:color w:val="auto"/>
        </w:rPr>
        <w:t>determined that each of</w:t>
      </w:r>
      <w:r>
        <w:rPr>
          <w:sz w:val="20"/>
          <w:szCs w:val="20"/>
          <w:color w:val="auto"/>
        </w:rPr>
        <w:tab/>
      </w:r>
      <w:r>
        <w:rPr>
          <w:rFonts w:ascii="Times New Roman" w:cs="Times New Roman" w:eastAsia="Times New Roman" w:hAnsi="Times New Roman"/>
          <w:sz w:val="17"/>
          <w:szCs w:val="17"/>
          <w:color w:val="auto"/>
        </w:rPr>
        <w:t>is independent.</w:t>
      </w:r>
    </w:p>
    <w:p>
      <w:pPr>
        <w:spacing w:after="0" w:line="207" w:lineRule="exact"/>
        <w:rPr>
          <w:sz w:val="20"/>
          <w:szCs w:val="20"/>
          <w:color w:val="auto"/>
        </w:rPr>
      </w:pPr>
    </w:p>
    <w:p>
      <w:pPr>
        <w:jc w:val="both"/>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nominating committee is responsible for overseeing the selection of persons to be nominated to serve on our board of directors. The nominating committee considers persons identified by its members, directors, executive officers, shareholders, investment bankers and others.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Guidelines for Selecting Director Nominees</w:t>
      </w:r>
    </w:p>
    <w:p>
      <w:pPr>
        <w:spacing w:after="0" w:line="119"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 guidelines for selecting nominees, which will be specified in a charter to be adopted by us, generally will provide that persons to be nominated:</w:t>
      </w:r>
    </w:p>
    <w:p>
      <w:pPr>
        <w:spacing w:after="0" w:line="67"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shareholders.</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establish a compensation committee of our</w:t>
      </w:r>
    </w:p>
    <w:p>
      <w:pPr>
        <w:spacing w:after="0" w:line="27" w:lineRule="exact"/>
        <w:rPr>
          <w:sz w:val="20"/>
          <w:szCs w:val="20"/>
          <w:color w:val="auto"/>
        </w:rPr>
      </w:pPr>
    </w:p>
    <w:p>
      <w:pPr>
        <w:ind w:left="120" w:right="720"/>
        <w:spacing w:after="0" w:line="250" w:lineRule="auto"/>
        <w:rPr>
          <w:sz w:val="20"/>
          <w:szCs w:val="20"/>
          <w:color w:val="auto"/>
        </w:rPr>
      </w:pPr>
      <w:r>
        <w:rPr>
          <w:rFonts w:ascii="Times New Roman" w:cs="Times New Roman" w:eastAsia="Times New Roman" w:hAnsi="Times New Roman"/>
          <w:sz w:val="18"/>
          <w:szCs w:val="18"/>
          <w:color w:val="auto"/>
        </w:rPr>
        <w:t>board of directors. The members of our compensation committee will be , and will serve as chairman of the compensation committee.</w:t>
      </w:r>
    </w:p>
    <w:p>
      <w:pPr>
        <w:spacing w:after="0" w:line="200" w:lineRule="exact"/>
        <w:rPr>
          <w:sz w:val="20"/>
          <w:szCs w:val="20"/>
          <w:color w:val="auto"/>
        </w:rPr>
      </w:pPr>
    </w:p>
    <w:p>
      <w:pPr>
        <w:spacing w:after="0" w:line="2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NYSE listing standards, we are required to have a compensation committee composed entirely of independent directors. Our board of</w:t>
      </w:r>
    </w:p>
    <w:p>
      <w:pPr>
        <w:spacing w:after="0" w:line="27" w:lineRule="exact"/>
        <w:rPr>
          <w:sz w:val="20"/>
          <w:szCs w:val="20"/>
          <w:color w:val="auto"/>
        </w:rPr>
      </w:pPr>
    </w:p>
    <w:p>
      <w:pPr>
        <w:ind w:left="120" w:right="620"/>
        <w:spacing w:after="0" w:line="260" w:lineRule="auto"/>
        <w:rPr>
          <w:sz w:val="20"/>
          <w:szCs w:val="20"/>
          <w:color w:val="auto"/>
        </w:rPr>
      </w:pPr>
      <w:r>
        <w:rPr>
          <w:rFonts w:ascii="Times New Roman" w:cs="Times New Roman" w:eastAsia="Times New Roman" w:hAnsi="Times New Roman"/>
          <w:sz w:val="18"/>
          <w:szCs w:val="18"/>
          <w:color w:val="auto"/>
        </w:rPr>
        <w:t>directors has determined that each of is independent. We will adopt a compensation committee charter, which will detail the principal functions of the compensation committee, including:</w:t>
      </w:r>
    </w:p>
    <w:p>
      <w:pPr>
        <w:spacing w:after="0" w:line="87" w:lineRule="exact"/>
        <w:rPr>
          <w:sz w:val="20"/>
          <w:szCs w:val="20"/>
          <w:color w:val="auto"/>
        </w:rPr>
      </w:pPr>
    </w:p>
    <w:p>
      <w:pPr>
        <w:ind w:left="1080" w:right="28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Section 16 executive officers;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directors and executive officers in complying with our proxy statement and annual report disclosure requirements;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have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Cayman Islands law, directors and officers owe the following fiduciary duties:</w:t>
      </w:r>
    </w:p>
    <w:p>
      <w:pPr>
        <w:spacing w:after="0" w:line="131"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act in good faith in what the director or officer believes to be in the best interests of the company as a whole;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for the purposes for which those powers were conferred and not for a collateral purpose;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 improperly fetter the exercise of future discretion;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fairly as between different sections of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themselves in a position in which there is a conflict between their duty to the company and their personal interests;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independent judgment.</w:t>
      </w:r>
    </w:p>
    <w:p>
      <w:pPr>
        <w:spacing w:after="0" w:line="22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shareholder meetings.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Certain of our directors and executive officers currently have, and any of them in the future may have additional, fiduciary and contractual duties to other entities, including without limitation, Ares and the Ares funds or their current or former portfolio companies.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These funds may have overlapping investment objectives and potential conflicts may arise with respect to Ares’ decision regarding how to allocate investment opportunities among these funds. If any of our directors and executive officers becomes aware of a business combination opportunity that is suitable for a fund or entity to which he or she has then-current fiduciary or contractual obligations (including, without limitation, any Ares funds or their current or former portfolio companies, or another entity affiliated with one of our directors), then, subject to their fiduciary duties under Cayman Islands law, he or she will need to honor such fiduciary or contractual obligations to present such business combination opportunity to such fund or entity, before we can pursue such opportunity. If Ares, the Ares funds or other entities decide to pursue any such opportunity, we may be precluded from pursuing the same. In addition, investment ideas generated within or presented to Ares or our directors and executive officers may be suitable for both us and Ares, a current or future Ares fund or one or more of their portfolio companies and, subject to applicable fiduciary duties or contractual obligations, will first be directed to Ares, such fund, investment vehicle or portfolio company before being directed, if at all, to us. None of Ares or any of our directors and executive officers who are also employed by Ares or its affiliates have any obligation to present us with any opportunity for a potential business combination of which they become aware in their capacities as employees of Ares, its funds or their portfolio companies. However, we do not expect these duties or contractual obligations to materially affect our ability to complete our initial business combination.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w:t>
      </w:r>
    </w:p>
    <w:p>
      <w:pPr>
        <w:spacing w:after="0" w:line="19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at our option, pursue an acquisition opportunity jointly with Ares, one or more parties affiliated with Ares, including without limitation, officers and affiliates of Ares or Ares funds, or investors in such Ares funds, or another entity affiliated with one of our directors. Any such party may co-invest with us in the target business at the time of our initial business combination, or we could raise additional proceeds to complete the acquisition by borrowing from or issuing to such parties a class of equity or debt securities. The amount and other terms and conditions of any such joint acquisition or specified future issuance would be determined at the time thereof.</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our officers and directors are not required to commit any specified amount of time to our affairs, and, accordingly, will have conflicts of interest in allocating time among various business activities, including identifying potential business combinations and monitoring the related due diligence. Moreover, our officers and directors including, our chief executive officer, David B. Kaplan are and in the future will be required to commit time and attention to Ares and Ares funds. To the extent any conflict of interest arises between, on the one hand, us and, on the other hand, any of such entities (including, without limitation, arising as a result of certain of officers and directors being required to offer acquisition opportunities to such entities), Ares and its affiliated funds will resolve such conflicts of interest in their sole discretion in accordance with their then existing fiduciary, contractual and other duties and there can be no assurance that such conflict of interest will be resolved in our favor.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Below is a table summarizing the entities to which our executive officers and directors currently have fiduciary duties, contractual obligations or other material management relationships: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86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86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Entity’s Business</w:t>
            </w:r>
          </w:p>
        </w:tc>
        <w:tc>
          <w:tcPr>
            <w:tcW w:w="276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Affiliation</w:t>
            </w:r>
          </w:p>
        </w:tc>
      </w:tr>
      <w:tr>
        <w:trPr>
          <w:trHeight w:val="185"/>
        </w:trPr>
        <w:tc>
          <w:tcPr>
            <w:tcW w:w="6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5"/>
              </w:rPr>
              <w:t>David B.</w:t>
            </w:r>
          </w:p>
        </w:tc>
        <w:tc>
          <w:tcPr>
            <w:tcW w:w="190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color w:val="auto"/>
              </w:rPr>
              <w:t>Kaplan</w:t>
            </w:r>
          </w:p>
        </w:tc>
        <w:tc>
          <w:tcPr>
            <w:tcW w:w="27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Ares Management Corporation</w:t>
            </w:r>
            <w:r>
              <w:rPr>
                <w:rFonts w:ascii="Times New Roman" w:cs="Times New Roman" w:eastAsia="Times New Roman" w:hAnsi="Times New Roman"/>
                <w:sz w:val="15"/>
                <w:szCs w:val="15"/>
                <w:color w:val="auto"/>
              </w:rPr>
              <w:t>(1)</w:t>
            </w:r>
          </w:p>
        </w:tc>
        <w:tc>
          <w:tcPr>
            <w:tcW w:w="120" w:type="dxa"/>
            <w:vAlign w:val="bottom"/>
          </w:tcPr>
          <w:p>
            <w:pPr>
              <w:spacing w:after="0"/>
              <w:rPr>
                <w:sz w:val="16"/>
                <w:szCs w:val="16"/>
                <w:color w:val="auto"/>
              </w:rPr>
            </w:pPr>
          </w:p>
        </w:tc>
        <w:tc>
          <w:tcPr>
            <w:tcW w:w="27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Investment Management, Various</w:t>
            </w:r>
          </w:p>
        </w:tc>
        <w:tc>
          <w:tcPr>
            <w:tcW w:w="120" w:type="dxa"/>
            <w:vAlign w:val="bottom"/>
          </w:tcPr>
          <w:p>
            <w:pPr>
              <w:spacing w:after="0"/>
              <w:rPr>
                <w:sz w:val="16"/>
                <w:szCs w:val="16"/>
                <w:color w:val="auto"/>
              </w:rPr>
            </w:pPr>
          </w:p>
        </w:tc>
        <w:tc>
          <w:tcPr>
            <w:tcW w:w="27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Director, Co-Founder and</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Co-Chairman of Private Equity</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Group</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Guitar Center Holdings, Inc.</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Holdings, Inc.</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CHWR Group GP LLC</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 &amp; Hospitality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Floor and Decor Holdings, Inc.</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MYT Netherlands Parent B.V</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 Interim Chair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Acquisition Corporation</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Blank Check Company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Cedars-Sinai Medical Center</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Non-profit</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Co-Chairman of the Board of</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r>
      <w:tr>
        <w:trPr>
          <w:trHeight w:val="234"/>
        </w:trPr>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1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Arougheti</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Management Corporation</w:t>
            </w:r>
            <w:r>
              <w:rPr>
                <w:rFonts w:ascii="Times New Roman" w:cs="Times New Roman" w:eastAsia="Times New Roman" w:hAnsi="Times New Roman"/>
                <w:sz w:val="15"/>
                <w:szCs w:val="15"/>
                <w:color w:val="auto"/>
              </w:rPr>
              <w:t>(1)</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Management, Various</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 Co-Founder President,</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Commercial Real Estate</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Management</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Capital Corporation</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Management</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Co-Chairman</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 HOPE</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Non-profit</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Acquisition Corporation</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Blank Check Company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Co-Chairman of the Board of</w:t>
            </w:r>
          </w:p>
        </w:tc>
      </w:tr>
      <w:tr>
        <w:trPr>
          <w:trHeight w:val="234"/>
        </w:trPr>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r>
      <w:tr>
        <w:trPr>
          <w:trHeight w:val="31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Jarrod Phillips</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Management Corporation</w:t>
            </w:r>
            <w:r>
              <w:rPr>
                <w:rFonts w:ascii="Times New Roman" w:cs="Times New Roman" w:eastAsia="Times New Roman" w:hAnsi="Times New Roman"/>
                <w:sz w:val="15"/>
                <w:szCs w:val="15"/>
                <w:color w:val="auto"/>
              </w:rPr>
              <w:t>(1)</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Management, Various</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Acquisition Corporation</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Blank Check Company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1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Allyson Satin</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Management Corporation</w:t>
            </w:r>
            <w:r>
              <w:rPr>
                <w:rFonts w:ascii="Times New Roman" w:cs="Times New Roman" w:eastAsia="Times New Roman" w:hAnsi="Times New Roman"/>
                <w:sz w:val="15"/>
                <w:szCs w:val="15"/>
                <w:color w:val="auto"/>
              </w:rPr>
              <w:t>(1)</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Management, Various</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Holdings, Inc.</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Acquisition Corporation</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Blank Check Company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31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Ogilvie</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Management Corporation</w:t>
            </w:r>
            <w:r>
              <w:rPr>
                <w:rFonts w:ascii="Times New Roman" w:cs="Times New Roman" w:eastAsia="Times New Roman" w:hAnsi="Times New Roman"/>
                <w:sz w:val="15"/>
                <w:szCs w:val="15"/>
                <w:color w:val="auto"/>
              </w:rPr>
              <w:t>(1)</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Management, Various</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Partner; Ares Strategy and</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Relationship Management Group</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LightPoint Financial Technology</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Australia Management</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Management</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Acquisition Corporation</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Blank Check Company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of Strategy</w:t>
            </w:r>
          </w:p>
        </w:tc>
      </w:tr>
    </w:tbl>
    <w:p>
      <w:pPr>
        <w:spacing w:after="0" w:line="238"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of its funds and other affiliates, including portfolio companies.</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investors should also be aware of the following other potential conflicts of interest: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82" w:lineRule="auto"/>
        <w:rPr>
          <w:sz w:val="20"/>
          <w:szCs w:val="20"/>
          <w:color w:val="auto"/>
        </w:rPr>
      </w:pPr>
      <w:r>
        <w:rPr>
          <w:rFonts w:ascii="Times New Roman" w:cs="Times New Roman" w:eastAsia="Times New Roman" w:hAnsi="Times New Roman"/>
          <w:sz w:val="18"/>
          <w:szCs w:val="18"/>
          <w:color w:val="auto"/>
        </w:rPr>
        <w:t>several other business endeavors for which he may be entitled to substantial compensation, and our executive officers are not obligated to contribute any specific number of hours per week to our affairs.</w:t>
      </w:r>
    </w:p>
    <w:p>
      <w:pPr>
        <w:spacing w:after="0" w:line="67" w:lineRule="exact"/>
        <w:rPr>
          <w:sz w:val="20"/>
          <w:szCs w:val="20"/>
          <w:color w:val="auto"/>
        </w:rPr>
      </w:pPr>
    </w:p>
    <w:p>
      <w:pPr>
        <w:ind w:left="108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their other business activities, our officers and directors may become aware of investment and business opportunities that may be appropriate for presentation to us as well as the other entities with which they are affiliated. Our management may have conflicts of interest in determining to which entity a particular business opportunity should be presented.</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subscribed for founder shares prior to the date of this prospectus and will purchase private placement warrants in a transaction that will close simultaneously with the closing of this offering.</w:t>
      </w:r>
    </w:p>
    <w:p>
      <w:pPr>
        <w:spacing w:after="0" w:line="67"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and each of our directors and executive officers have entered into an agreement with us, pursuant to which they have agreed to waive their redemption rights with respect to their founder shares and public shares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Additionally, our sponsor has agreed to waive its rights to liquidating distributions from the trust account with respect to its founder shares if we fail to complete our initial business combination within the prescribed time frame. If we do not consummate an initial business combination within the prescribed time frame, the private placement warrants will expire worthless. Except as described herein, our sponsor and our directors and executive officers have agreed not to transfer, assign or sell any of their founder shares until the earliest of (A) one year after the completion of our initial business combination or</w:t>
      </w:r>
    </w:p>
    <w:p>
      <w:pPr>
        <w:spacing w:after="0" w:line="3" w:lineRule="exact"/>
        <w:rPr>
          <w:rFonts w:ascii="Times New Roman" w:cs="Times New Roman" w:eastAsia="Times New Roman" w:hAnsi="Times New Roman"/>
          <w:sz w:val="18"/>
          <w:szCs w:val="18"/>
          <w:color w:val="auto"/>
        </w:rPr>
      </w:pPr>
    </w:p>
    <w:p>
      <w:pPr>
        <w:ind w:left="1080"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shareholders having the right to exchange their ordinary shares for cash, securities or other property. The private placement warrants will not be transferable until 30 days following the completion of our initial business combination. Because each of our executive officers and director nominees will own ordinary shares or warrants directly or indirectly, they may have a conflict of interest in determining whether a particular target business is an appropriate business with which to effectuate our initial business combination.</w:t>
      </w:r>
    </w:p>
    <w:p>
      <w:pPr>
        <w:spacing w:after="0" w:line="99" w:lineRule="exact"/>
        <w:rPr>
          <w:rFonts w:ascii="Times New Roman" w:cs="Times New Roman" w:eastAsia="Times New Roman" w:hAnsi="Times New Roman"/>
          <w:sz w:val="18"/>
          <w:szCs w:val="18"/>
          <w:color w:val="auto"/>
        </w:rPr>
      </w:pPr>
    </w:p>
    <w:p>
      <w:pPr>
        <w:ind w:left="1080" w:right="160" w:hanging="424"/>
        <w:spacing w:after="0" w:line="255"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directors or executive officers or any of their affiliates may make additional investments in us in connection with our initial business combination, although they are under no obligation to do so. If our sponsor or any of its affiliates (including, without limitation, any Ares funds or their portfolio companies) elect to make additional investments or provide financing, such proposed transactions could influence our sponsor’s motivation to complete our initial business combination. Ares and its affiliates and certain of the Ares funds engage in the business of originating, underwriting, syndicating, acquiring and trading loans and debt securities of corporate and other borrowers, and may provide or participate in any debt financing arrangement in connection with any acquisition, financing or disposition of any target business that we may make.</w:t>
      </w:r>
    </w:p>
    <w:p>
      <w:pPr>
        <w:spacing w:after="0" w:line="94" w:lineRule="exact"/>
        <w:rPr>
          <w:rFonts w:ascii="Times New Roman" w:cs="Times New Roman" w:eastAsia="Times New Roman" w:hAnsi="Times New Roman"/>
          <w:sz w:val="18"/>
          <w:szCs w:val="18"/>
          <w:color w:val="auto"/>
        </w:rPr>
      </w:pPr>
    </w:p>
    <w:p>
      <w:pPr>
        <w:ind w:left="1080" w:right="160" w:hanging="424"/>
        <w:spacing w:after="0" w:line="25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 Our directors and officers or Ares or its affiliates may also sponsor, form or participate in other blank check companies similar to ours during the period in which we are seeking an initial business combination. In addition, funds managed by Ares may have provided debt to companies we pursue and such debt may or may not be paid off in connection with a potential business combination. Any such companies may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580"/>
        <w:spacing w:after="0" w:line="282" w:lineRule="auto"/>
        <w:rPr>
          <w:sz w:val="20"/>
          <w:szCs w:val="20"/>
          <w:color w:val="auto"/>
        </w:rPr>
      </w:pPr>
      <w:r>
        <w:rPr>
          <w:rFonts w:ascii="Times New Roman" w:cs="Times New Roman" w:eastAsia="Times New Roman" w:hAnsi="Times New Roman"/>
          <w:sz w:val="18"/>
          <w:szCs w:val="18"/>
          <w:color w:val="auto"/>
        </w:rPr>
        <w:t>present additional conflicts of interest in pursuing an acquisition target, particularly in the event there is overlap among investment mandates and the director and officer teams.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business combination target that is affiliated with our sponsor, officers or directors or making the acquisition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 banking firm or an independent accounting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to effectuate, the completion of our initial business combination. Certain affiliates of our sponsor will be entitled to reimbursement for any out-of-pocket expenses (or an allocable portion thereof), to the extent that such affiliates incur expenses for services provided to us before our initial business combination. Further, commencing on the date our securities are first listed on the NYSE, we will also reimburse an affiliate of our sponsor for office space, secretarial and administrative services provided to us in the amount of $16,667 per month.</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any of the above mentioned conflicts will be resolved in our favor.</w:t>
      </w:r>
    </w:p>
    <w:p>
      <w:pPr>
        <w:spacing w:after="0" w:line="225"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In the event that we submit our initial business combination to our public shareholders for a vote, our sponsor, directors and executive officers have agreed to vote their founder shares and any public shares purchased during or after this offering in favor of our initial business combination.</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80"/>
          </w:cols>
          <w:pgMar w:left="320" w:top="455" w:right="4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81"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outstanding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directors and director nominees that beneficially owns ordinary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On March 19, 2021, our sponsor paid $25,000 to cover certain of our offering costs in consideration of 25,156,250 Class B ordinary shares, par value $0.0001. Prior to the initial investment in the company of $25,000 by the sponsor, the company had no assets, tangible or intangible. Up to 3,281,250 founder shares are subject to forfeiture depending on the extent to which the underwriters’ over-allotment option is exercised. The post-offering percentages in the following table assume that the underwriters do not exercise their over-allotment option and that there are 109,375,000 ordinary shares issued and outstanding after this offering.</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Approximate Percentage of</w:t>
            </w:r>
          </w:p>
        </w:tc>
        <w:tc>
          <w:tcPr>
            <w:tcW w:w="0" w:type="dxa"/>
            <w:vAlign w:val="bottom"/>
          </w:tcPr>
          <w:p>
            <w:pPr>
              <w:spacing w:after="0"/>
              <w:rPr>
                <w:sz w:val="1"/>
                <w:szCs w:val="1"/>
                <w:color w:val="auto"/>
              </w:rPr>
            </w:pPr>
          </w:p>
        </w:tc>
      </w:tr>
      <w:tr>
        <w:trPr>
          <w:trHeight w:val="160"/>
        </w:trPr>
        <w:tc>
          <w:tcPr>
            <w:tcW w:w="25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580" w:type="dxa"/>
            <w:vAlign w:val="bottom"/>
            <w:gridSpan w:val="2"/>
          </w:tcPr>
          <w:p>
            <w:pPr>
              <w:jc w:val="center"/>
              <w:ind w:right="624"/>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80" w:type="dxa"/>
            <w:vAlign w:val="bottom"/>
            <w:gridSpan w:val="5"/>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Ordinary</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80" w:type="dxa"/>
            <w:vAlign w:val="bottom"/>
            <w:gridSpan w:val="2"/>
          </w:tcPr>
          <w:p>
            <w:pPr>
              <w:jc w:val="center"/>
              <w:ind w:right="624"/>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17"/>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2"/>
                <w:szCs w:val="12"/>
                <w:b w:val="1"/>
                <w:bCs w:val="1"/>
                <w:color w:val="auto"/>
              </w:rPr>
              <w:t>(1)</w:t>
            </w:r>
          </w:p>
        </w:tc>
        <w:tc>
          <w:tcPr>
            <w:tcW w:w="1920" w:type="dxa"/>
            <w:vAlign w:val="bottom"/>
            <w:vMerge w:val="restart"/>
          </w:tcPr>
          <w:p>
            <w:pPr>
              <w:spacing w:after="0"/>
              <w:rPr>
                <w:sz w:val="10"/>
                <w:szCs w:val="10"/>
                <w:color w:val="auto"/>
              </w:rPr>
            </w:pPr>
          </w:p>
        </w:tc>
        <w:tc>
          <w:tcPr>
            <w:tcW w:w="1580" w:type="dxa"/>
            <w:vAlign w:val="bottom"/>
            <w:gridSpan w:val="2"/>
          </w:tcPr>
          <w:p>
            <w:pPr>
              <w:jc w:val="center"/>
              <w:ind w:right="624"/>
              <w:spacing w:after="0" w:line="118"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82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5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580" w:type="dxa"/>
            <w:vAlign w:val="bottom"/>
            <w:tcBorders>
              <w:bottom w:val="single" w:sz="8" w:color="auto"/>
            </w:tcBorders>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1580" w:type="dxa"/>
            <w:vAlign w:val="bottom"/>
            <w:gridSpan w:val="2"/>
          </w:tcPr>
          <w:p>
            <w:pPr>
              <w:jc w:val="center"/>
              <w:ind w:right="624"/>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(2)</w:t>
            </w:r>
          </w:p>
        </w:tc>
        <w:tc>
          <w:tcPr>
            <w:tcW w:w="8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580" w:type="dxa"/>
            <w:vAlign w:val="bottom"/>
          </w:tcPr>
          <w:p>
            <w:pPr>
              <w:spacing w:after="0"/>
              <w:rPr>
                <w:sz w:val="13"/>
                <w:szCs w:val="13"/>
                <w:color w:val="auto"/>
              </w:rPr>
            </w:pPr>
          </w:p>
        </w:tc>
        <w:tc>
          <w:tcPr>
            <w:tcW w:w="88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4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Ares Acquisition Holdings II LP (our sponsor)</w:t>
            </w:r>
            <w:r>
              <w:rPr>
                <w:rFonts w:ascii="Times New Roman" w:cs="Times New Roman" w:eastAsia="Times New Roman" w:hAnsi="Times New Roman"/>
                <w:sz w:val="15"/>
                <w:szCs w:val="15"/>
                <w:color w:val="auto"/>
              </w:rPr>
              <w:t>(3)</w:t>
            </w:r>
          </w:p>
        </w:tc>
        <w:tc>
          <w:tcPr>
            <w:tcW w:w="8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jc w:val="right"/>
              <w:ind w:right="444"/>
              <w:spacing w:after="0"/>
              <w:rPr>
                <w:sz w:val="20"/>
                <w:szCs w:val="20"/>
                <w:color w:val="auto"/>
              </w:rPr>
            </w:pPr>
            <w:r>
              <w:rPr>
                <w:rFonts w:ascii="Times New Roman" w:cs="Times New Roman" w:eastAsia="Times New Roman" w:hAnsi="Times New Roman"/>
                <w:sz w:val="15"/>
                <w:szCs w:val="15"/>
                <w:color w:val="auto"/>
                <w:w w:val="91"/>
              </w:rPr>
              <w:t>(4)</w:t>
            </w: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21,875,000</w:t>
            </w:r>
          </w:p>
        </w:tc>
        <w:tc>
          <w:tcPr>
            <w:tcW w:w="70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w w:val="95"/>
              </w:rPr>
              <w:t>100%</w:t>
            </w:r>
          </w:p>
        </w:tc>
        <w:tc>
          <w:tcPr>
            <w:tcW w:w="58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Arougheti</w:t>
            </w:r>
          </w:p>
        </w:tc>
        <w:tc>
          <w:tcPr>
            <w:tcW w:w="1580" w:type="dxa"/>
            <w:vAlign w:val="bottom"/>
            <w:gridSpan w:val="2"/>
          </w:tcPr>
          <w:p>
            <w:pPr>
              <w:jc w:val="right"/>
              <w:ind w:right="44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(5)</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 Kaplan</w:t>
            </w:r>
          </w:p>
        </w:tc>
        <w:tc>
          <w:tcPr>
            <w:tcW w:w="1580" w:type="dxa"/>
            <w:vAlign w:val="bottom"/>
            <w:gridSpan w:val="2"/>
            <w:shd w:val="clear" w:color="auto" w:fill="CCEEFF"/>
          </w:tcPr>
          <w:p>
            <w:pPr>
              <w:jc w:val="right"/>
              <w:ind w:right="44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(5)</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Jarrod Phillips</w:t>
            </w:r>
          </w:p>
        </w:tc>
        <w:tc>
          <w:tcPr>
            <w:tcW w:w="1580" w:type="dxa"/>
            <w:vAlign w:val="bottom"/>
            <w:gridSpan w:val="2"/>
          </w:tcPr>
          <w:p>
            <w:pPr>
              <w:jc w:val="right"/>
              <w:ind w:right="44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(5)</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Allyson Satin</w:t>
            </w:r>
          </w:p>
        </w:tc>
        <w:tc>
          <w:tcPr>
            <w:tcW w:w="1580" w:type="dxa"/>
            <w:vAlign w:val="bottom"/>
            <w:gridSpan w:val="2"/>
            <w:shd w:val="clear" w:color="auto" w:fill="CCEEFF"/>
          </w:tcPr>
          <w:p>
            <w:pPr>
              <w:jc w:val="right"/>
              <w:ind w:right="44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(5)</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Ogilvie</w:t>
            </w:r>
          </w:p>
        </w:tc>
        <w:tc>
          <w:tcPr>
            <w:tcW w:w="1580" w:type="dxa"/>
            <w:vAlign w:val="bottom"/>
            <w:gridSpan w:val="2"/>
          </w:tcPr>
          <w:p>
            <w:pPr>
              <w:jc w:val="right"/>
              <w:ind w:right="444"/>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(5)</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officers, directors and director nominees as a group</w:t>
            </w:r>
          </w:p>
        </w:tc>
        <w:tc>
          <w:tcPr>
            <w:tcW w:w="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individuals)</w:t>
            </w:r>
          </w:p>
        </w:tc>
        <w:tc>
          <w:tcPr>
            <w:tcW w:w="1580" w:type="dxa"/>
            <w:vAlign w:val="bottom"/>
            <w:gridSpan w:val="2"/>
            <w:shd w:val="clear" w:color="auto" w:fill="CCEEFF"/>
          </w:tcPr>
          <w:p>
            <w:pPr>
              <w:jc w:val="right"/>
              <w:ind w:right="72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100" w:hanging="424"/>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our shareholders is c/o Ares Management LLC, 245 Park Avenue, 44th Floor, New York, NY 10167.</w:t>
      </w:r>
    </w:p>
    <w:p>
      <w:pPr>
        <w:ind w:left="540" w:right="580" w:hanging="424"/>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solely of founder shares, classified as Class B ordinary shares. Such shares will automatically convert into Class A ordinary shares at the time of our initial business combination as described in the section entitled “Description of Securities.”</w:t>
      </w:r>
    </w:p>
    <w:p>
      <w:pPr>
        <w:ind w:left="540" w:hanging="424"/>
        <w:spacing w:after="0" w:line="252"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Acquisition Holdings II LP (“sponsor”) is a Cayman Islands limited partnership managed by affiliates of Ares. Ares Acquisition Holdings II is the general partner of sponsor. Ares Investment Holdings LLC is the general partner of Ares Acquisition Holdings II. Ares Investment Holdings LLC is an indirect subsidiary of Ares Management Corporation (“Ares Management”). Ares Management GP LLC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Pursuant to Ares Management’s Certificate of Incorporation, the holders of the Ares Class B Common</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80"/>
          </w:cols>
          <w:pgMar w:left="320" w:top="455"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80"/>
        <w:spacing w:after="0" w:line="254" w:lineRule="auto"/>
        <w:rPr>
          <w:sz w:val="20"/>
          <w:szCs w:val="20"/>
          <w:color w:val="auto"/>
        </w:rPr>
      </w:pPr>
      <w:r>
        <w:rPr>
          <w:rFonts w:ascii="Times New Roman" w:cs="Times New Roman" w:eastAsia="Times New Roman" w:hAnsi="Times New Roman"/>
          <w:sz w:val="18"/>
          <w:szCs w:val="18"/>
          <w:color w:val="auto"/>
        </w:rPr>
        <w:t>Stock and the Ares Class C Common Stock, collectively, will generally have the majority of the votes on any matter submitted to the stockholders of Ares Management if certain conditions are met. The sole member of both Ares Management GP and Ares Voting is Ares Partners Holdco LLC (“Ares Partners”). Ares Partners is managed by a board of managers, which is composed of Michael Arougheti, Ryan Berry, R. Kipp deVeer, David Kaplan, Michael McFerran, Antony Ressler and Bennett Rosenthal (collectively, the “Board Members”). Mr. Ressler generally has veto authority over Board Members’ decisions.</w:t>
      </w:r>
    </w:p>
    <w:p>
      <w:pPr>
        <w:spacing w:after="0" w:line="3" w:lineRule="exact"/>
        <w:rPr>
          <w:sz w:val="20"/>
          <w:szCs w:val="20"/>
          <w:color w:val="auto"/>
        </w:rPr>
      </w:pPr>
    </w:p>
    <w:p>
      <w:pPr>
        <w:ind w:left="540" w:right="26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3,281,250 founder shares that will be surrendered to us for no consideration by our sponsor depending on the extent to which the underwriters’ over-allotment option is exercised.</w:t>
      </w: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indirectly owned by this individual as a result of his partnership interest in our sponsor.</w:t>
      </w:r>
    </w:p>
    <w:p>
      <w:pPr>
        <w:spacing w:after="0" w:line="20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Immediately after this offering, our initial shareholders will beneficially own 20% of the then issued and outstanding ordinary shares (assuming it does not purchase any units in this offering) and will have the right to elect all of our directors prior to our initial business combination. Holders of our public shares will not have the right to elect any directors to our board of directors prior to our initial business combination. Because of this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upon the consummation of this offering.</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initial shareholders have agreed (a) to vote any founder shares owned by them in favor of any proposed business combination and (b) not to require us to redeem any founder shares in connection with a shareholder vote to approve a proposed initial business combination.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sponsor and our officers and directors are deemed to be our “promoters” as such term is defined under the federal securities laws.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Transfers of Founder Shares and Private Placement Warrants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founder shares, private placement warrants and any Class A ordinary shares issued upon conversion or exercise thereof are each subject to transfer restrictions pursuant to lock-up provisions in the agreements entered into by our sponsor and directors and executive officers. Our sponsor and each of our directors and executive officers have agreed not to transfer, assign or sell any of their founder shares until the earliest of (a) one year after the completion of our initial business combination and (b) upon consummation of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after our initial business combination that results in all of our shareholders having the right to exchange their Class A ordinary shares for cash, securities or other property. The private placement warrants and the respective Class A ordinary shares underlying such warrants are not transferable or salable until 30 days after the completion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w:t>
      </w:r>
    </w:p>
    <w:p>
      <w:pPr>
        <w:spacing w:after="0" w:line="1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the price at which the founder shares, private placement warrants or Class A ordinary shares,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 (i) in the event of our completion of a liquidation, merger, share exchange or other similar transaction which results in all of our shareholders having the right to exchange their Class A ordinary shares for cash, securities or other property subsequent to our completion of our initial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the case of clauses (a) through (f) these permitted transferees must enter into a written agreement agreeing to be bound by these transfer restrictions and the other restrictions contained in the letter agreements.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320" w:top="455" w:right="5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March 19, 2021, our sponsor paid $25,000 to cover certain of our offering costs in consideration of 25,156,250 Class B ordinary shares, par value $0.0001. The number of founder shares issued was determined based on the expectation that such founder shares would represent 20% of the outstanding shares upon completion of this offering. If we further increase or decrease the size of the offering, we will effect a share capitalization or a share surrender or other appropriate mechanism, as applicable, with respect to our Class B ordinary shares immediately prior to the consummation of the offering in such amount as to maintain the ownership of our sponsor (and its permitted transferees, if any) at 20% of our issued and outstanding ordinary shares upon the consummation of this offering. Up to 3,281,250 founder shares are subject to forfeiture by our sponsor depending on the extent to which the underwriters’ over-allotment option is exercised. The founder shares (including the Class A ordinary shares issuable upon conversion thereof) may not, subject to certain limited exceptions, be transferred, assigned or sold by the holder.</w:t>
      </w:r>
    </w:p>
    <w:p>
      <w:pPr>
        <w:spacing w:after="0" w:line="19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Our sponsor has committed, pursuant to a written agreement, to purchase an aggregate of 15,000,000 private placement warrants (or 16,750,000 private placement warrants if the over-allotment option is exercised in full) for a purchase price of $1.50 per whole warrant in a private placement that will occur simultaneously with the closing of this offering. As such, our sponsor’s interest in this transaction is valued at between $22,500,000 and $25,125,000, depending on the number of private placement warrants purchased. Each private placement warrant entitles the holder to purchase one Class A ordinary share at $11.50 per share. The private placement warrants (including the Class A ordinary shares issuable upon exercise thereof) may not, subject to certain limited exceptions, be transferred, assigned or sold by the holder.</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more fully discussed in the section of this prospectus entitled “Management—Conflicts of Interest,” 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opportunity to such entity. Our officers and directors currently have certain relevant fiduciary duties or contractual obligations that may take priority over their duties to us.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at our option, pursue an acquisition opportunity jointly with Ares, one or more parties affiliated with Ares, including without limitation, officers and affiliates of Ares or Ares funds, or investors in such Ares funds. Any such party may co-invest with us in the target business at the time of our initial business combination, or we could raise additional proceeds to complete the acquisition by borrowing from or issuing to such parties a class of equity or debt securities. The amount and other terms and conditions of any such joint acquisition or specified future issuance would be determined at the time thereof.</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currently maintain our executive offices at 245 Park Avenue, 44th Floor, New York, New York 10167. The cost for our use of this space is included in the $16,667 per month fee we will pay to an affiliate of our sponsor for office space, administrative and support services, commencing on the date that our securities are first listed on the NYSE. Upon completion of our initial business combination or our liquidation, we will cease paying these monthly fees.</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No compensation of any kind, including finder’s and consulting fees, will be paid to our sponsor, officers and directors, or any of their respective affiliates, for services rendered prior to or in connection with the completion of an initial business combination except certain affiliates of our sponsor will be entitled to reimbursement for any out-of-pocket expenses (or an allocable portion thereof), to the extent that such affiliates incur expenses for services provided to us before our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 no cap or ceiling on the reimbursement of out-of-pocket expenses incurred by such persons in connection with activities on our behalf.</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Prior to the consummation of this offering, our sponsor has agreed to loan us up to $300,000 to be used for a portion of the expenses of this offering. These loans are non-interest bearing, unsecured and are due at the earlier of December 31, 2021 or the closing of this offering. The loan will be repaid upon the closing of this offering out of the offering proceeds not held in the trust account.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$2,000,000 of such loans may be convertible into warrants at a price of $1.50 per warrant at the option of the lender. The warrants would be identical to the private placement warrants, including as to exercise price, exercisability and exercise period. The terms of such loans by our officers and directors,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After our initial business combination, our directors and executive officers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will enter into a registration and shareholder rights agreement pursuant to which our sponsor will be entitled to certain registration rights with respect to the private placement warrants, the warrants issuable upon conversion of working capital loans (if any) and the Class A ordinary shares issuable upon exercise of the foregoing and upon conversion of the founder shares, and, upon consummation of our initial business combination, to nominate three individuals for election to our board of directors, as long as our sponsor holds any securities covered by the registration and shareholder rights agreement, which is described under the section of this prospectus entitled “Description of Securities—Registration and Shareholder Rights.”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for Approval of Related Party Transactions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of our board of directors will adopt a charter, providing for the review, approval or ratification of “related party transactions,” which are those transactions required to be disclosed pursuant to Item 404 of Regulation S-K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a Cayman Islands exempted company and our affairs will be governed by our amended and restated memorandum and articles of association, the Companies Act and the common law of the Cayman Islands. Pursuant to our amended and restated memorandum and articles of association, which will be adopted prior to the consummation of this offering, we will be authorized to issue 300,000,000 Class A ordinary shares and 30,000,000 Class B ordinary shares, as well as 1,000,000 preference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unit has an offering price of $10.00 and consists of one Class A ordinary share and one-fifth of one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 No fractional warrants will be issued upon separation of the units and only whole warrants will trade. Accordingly, unless you purchase at least five units, you will not be able to receive or trade a whole warrant.</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Class A ordinary shares and warrants comprising the units are expected to begin separate trading on the 52nd day following the date of this prospectus (or, if such date is not a business day, the following business day) unless the representatives inform us of their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to separate the units into Class A ordinary shares and warrants.</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no event will the Class A ordinary shares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Additionally, the units will automatically separate into their component parts and will not be traded after completion of our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Prior to the date of this prospectus, there were 25,156,250 Class B ordinary shares issued and outstanding, all of which were held of record by our sponsor (and its permitted transferees). Upon the closing of this offering, 109,375,000 of our ordinary shares will be outstanding (assuming no exercise of the underwriters’ over-allotment option) including:</w:t>
      </w:r>
    </w:p>
    <w:p>
      <w:pPr>
        <w:spacing w:after="0" w:line="81"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87,500,000 Class A ordinary shares underlying the units issued as part of this offering;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21,875,000 Class B ordinary shares held by our sponsor (and its permitted transferees).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we increase or decrease the size of this offering, we will effect a share capitalization or share compulsory redemption or redemption or other appropriate mechanism, as applicable, with respect to our Class B ordinary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shares immediately prior to the consummation of this offering in such amount as to maintain the ownership of our sponsor (and its permitted transferees, if any) at 20% of our issued and outstanding ordinary shares upon the consummation of this offering.</w:t>
      </w:r>
    </w:p>
    <w:p>
      <w:pPr>
        <w:spacing w:after="0" w:line="16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Act or applicable stock exchange rules, an ordinary resolution under Cayman Islands law, which requires the affirmative vote of shareholders holding a majority of ordinary shares who attend and vote at a shareholder meeting. Approval of certain actions will require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shareholders are entitled to receive ratable dividends when, as and if declared by the board of directors out of funds legally available therefor. 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shareholder meeting which shall include the affirmative vote of a simple majority of our Class B ordinary shares.</w:t>
      </w:r>
    </w:p>
    <w:p>
      <w:pPr>
        <w:spacing w:after="0" w:line="193"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Because our amended and restated memorandum and articles of association will authorize the issuance of up to 300,000,000 Class A ordinary shares, if we were to enter into a business combination, we may (depending on the terms of such a business combination) be required to increase the number of Class A ordinary shares which we will be authorized to issue at the same time as our shareholders vote on the business combination to the extent we seek shareholder approval in connection with our initial business combination.</w:t>
      </w:r>
    </w:p>
    <w:p>
      <w:pPr>
        <w:spacing w:after="0" w:line="180"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Our board of directors is divided into three classes with only one class of directors being elected in each year and each class (except for those directors appointed prior to our first annual shareholder meeting) serving a three-year term. In accordance with the NYSE corporate governance requirements, we are not required to hold an annual shareholder meeting until one year after our first fiscal year end following our listing on the NYSE. There is no requirement under the Companies Act for us to hold shareholder meetings or elect directors. We may not hold an annual shareholder meeting to elect new directors prior to the consummation of our initial business combination. 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7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have all or a portion of their public shares redeemed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is initially anticipated to be $10.00 per public share. The per share amount we will distribute to investors who properly elect to redeem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their shares will not be reduced by the deferred underwriting commissions we will pay to the underwriters. The redemption rights will include the requirement that a beneficial owner must identify itself before we can validly redeem its shares. Our sponsor and each of our directors and executive officers have entered into an agreement with us, pursuant to which they have agreed to waive their redemption rights with respect to their founder shares and public shares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law, or we decide to obtain shareholder approval for business or other legal reasons, we will, like many blank check companies, offer to redeem shares in conjunction with a proxy solicitation pursuant to the proxy rules and not pursuant to the tender offer rules. If we seek shareholder approval, we will complete our initial business combination only if we obtain the approval of an ordinary resolution under Cayman Islands law, which requires the affirmative vote of shareholders holding a majority of ordinary shares who attend and vote at a shareholder meeting.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For purposes of seeking approval of the majority of our issued and outstanding ordinary shares, non-votes will have no effect on the approval of our initial business combination once a quorum is obtained. Our amended and restated memorandum and articles of association will require that at least five days’ notice will be given of any shareholder meeting.</w:t>
      </w:r>
    </w:p>
    <w:p>
      <w:pPr>
        <w:spacing w:after="0" w:line="20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requiring us to redeem its shares with respect to Excess Shares. However, we would not be restricting our shareholders’ ability to vote all of their shares (including Excess Shares) for or against our initial business combination. Our shareholders’ inability to require us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to dispose such shares would be required to sell their shares in open market transactions, potentially at a loss.</w:t>
      </w:r>
    </w:p>
    <w:p>
      <w:pPr>
        <w:spacing w:after="0" w:line="19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the event we seek shareholder approval, we will complete our initial business combination only if we obtain the approval of an ordinary resolution under Cayman Islands law, which requires the affirmative vote of shareholders holding a majority of ordinary shares who attend and vote at a shareholder meeting. In such case, our sponsor and each of our directors and executive officers have agreed to vote their founder shares and any public shares purchased during or after this offering in favor of our initial business combination. As a result, in addition to our initial shareholders’ founder shares, we would need 32,812,501, or 37.5% (assuming all issued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and outstanding shares are voted and the over-allotment option is not exercised), or 5,468,751, or 6.25% (assuming only the minimum number of shares representing a quorum are voted and the over-allotment option is not exercised), of the 87,500,000 public shares sold in this offering to be voted in favor of an initial business combination to have our initial business combination approved. Additionally, each public shareholder may elect to redeem their public shares irrespective of whether they vote for or against the proposed transaction.</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our amended and restated memorandum and articles of association, if we have not consummated an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liquidate and dissolve, subject in each case, to our obligations under Cayman Islands law to provide for claims of creditors and in all cases subject to the other requirements of applicable law. Our sponsor, directors and executive officers have entered into an agreement with us, pursuant to which they have agreed to waive their rights to liquidating distributions from the trust account with respect to their founder shares if we fail to consummate an initial business combination within 24 months from the closing of this offering. However, if our sponsor, directors or executive officers acquire public shares in or after this offering, they will be entitled to liquidating distributions from the trust account with respect to such public shares if we fail to complete our initial business combination within the prescribed time period.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9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require us to redeem their public shares for cash at a per share price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upon the completion of our initial business combination, subject to the limitations described herein.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founder shares are designated as Class B ordinary shares and, except as described below, are identical to the Class A ordinary shares included in the units being sold in this offering, and holders of founder shares have the same shareholder rights as public shareholders, except that (i) the founder shares are subject to certain transfer restrictions, as described in more detail below, (ii) our sponsor, officers and directors have entered into an agreement with us, pursuant to which they have agreed (A) to waive their redemption rights with respect to their founder shares and public shares in connection with the completion of our initial business combination, (B) to waive their redemption rights with respect to their founder shares and public shares in connection with a shareholder vote to approve an amendment to our amended and restated memorandum and articles of association (i)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this offering or (ii) with respect to any other provision relating to the rights of holders of our Class A ordinary shares and (C) to waive their rights to liquidating distributions from the trust account with respect to its founder shares if we fail to consummate an initial business combination within 24 months from the closing of this offering, although it will be entitled to liquidating distributions from the trust account with respect to any public shares it holds if we fail to complete our initial business combination within such time period, (iii) the founder shares will automatically convert into Class A ordinary shares at the time of our initial business combination as described herein, and (iv) prior to the completion of our initial business combination, only our founder shares will have the right to vote on the election of our directors. If we submit our initial business combination to our public shareholders for a vote, our sponsor, our directors and each of our directors and executive officers have agreed to vote their founder shares and any public shares purchased during or after this offering in favor of our initial business combination.</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In no event will the Class B ordinary shares convert into Class A ordinary shares at a rate of less than one to one.</w:t>
      </w:r>
    </w:p>
    <w:p>
      <w:pPr>
        <w:spacing w:after="0" w:line="19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Except as described herein, our sponsor and our directors and executive officers have agreed not to transfer, assign or sell any of their founder shares until (a) one year after the completion of our initial business combination, or (b) the date on which we complete a liquidation, merger, share exchange or other similar transaction after our initial business combination that results in all of our shareholders having the right to exchange their Class A ordinary shares for cash, securities or other property. Any permitted transferees will be subject to the same restrictions and other agreements of our sponsor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not less than two-thirds of our ordinary shares who attend and vote at our shareholder meeting which shall include the affirmative vote of a simple majority of our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Cayman Islands law, we must keep a register of members and there will be entered therein:</w:t>
      </w:r>
    </w:p>
    <w:p>
      <w:pPr>
        <w:spacing w:after="0" w:line="131" w:lineRule="exact"/>
        <w:rPr>
          <w:sz w:val="20"/>
          <w:szCs w:val="20"/>
          <w:color w:val="auto"/>
        </w:rPr>
      </w:pPr>
    </w:p>
    <w:p>
      <w:pPr>
        <w:ind w:left="1080" w:right="80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a statement of the shares held by each member, and of the amount paid or agreed to be considered as paid, on the shares of each member and the voting rights of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voting rights are attached to the share in issue;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authorize 1,000,000 preference shares and provide that preference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 No preference shares are being issued or registered in this offering.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Shareholders’ Warrants</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Class A ordinary share at a price of $11.50 per share, subject to adjustment as discussed below, at any time commencing on the later of one year from the closing of this offering and 30 days after the completion of our initial business combination, except as discussed in the immediately succeeding paragraph.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five units, you will not be able to receive or trade a whole warrant. The warrants will expire five years after the completion of our initial business combination, at 5:00 p.m., New York City time, or earlier upon redemption or liquidation.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agreed that as soon as practicable, but in no event later than twenty business days after the closing of our initial business combination, we will use our commercially reasonable efforts to file with the SEC a registration statement for the registration, under the Securities Act, of the Class A ordinary shares issuable upon exercise of the warrants, and we will use our commercially reasonable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as specified in the warrant agreement; provided that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 such event, each holder would pay the exercise price by surrendering the warrants for that number of Class A ordinary shares equal to the lesser of (A) the quotient obtained by dividing (x) the product of the number of Class A ordinary shares underlying the warrants, multiplied by the excess of the “fair market value” (defined below) less the exercise price of the warrants by (y) the fair market value and (B) 0.361. The “fair market value” as used in this paragraph shall mean the volume weighted average price of the Class A ordinary shares for the 10 trading days ending on the trading day prior to the date on which the notice of exercise is received by the warrant agent.</w:t>
      </w:r>
    </w:p>
    <w:p>
      <w:pPr>
        <w:spacing w:after="0" w:line="189" w:lineRule="exact"/>
        <w:rPr>
          <w:sz w:val="20"/>
          <w:szCs w:val="20"/>
          <w:color w:val="auto"/>
        </w:rPr>
      </w:pPr>
    </w:p>
    <w:p>
      <w:pPr>
        <w:ind w:left="120"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Class A ordinary share equals or exceeds $18.00. </w:t>
      </w:r>
      <w:r>
        <w:rPr>
          <w:rFonts w:ascii="Times New Roman" w:cs="Times New Roman" w:eastAsia="Times New Roman" w:hAnsi="Times New Roman"/>
          <w:sz w:val="18"/>
          <w:szCs w:val="18"/>
          <w:color w:val="auto"/>
        </w:rPr>
        <w:t>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 (except as described herein with respect to the private placement warrants):</w:t>
      </w:r>
    </w:p>
    <w:p>
      <w:pPr>
        <w:spacing w:after="0" w:line="66"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ordinary shares equals or exceeds $18.00 per share (as adjusted for adjustments to the number of shares issuable upon exercise or the exercise price of a warrant as described under the heading “—Warrants—Public Shareholders’ Warrants—Anti-Dilution Adjustments”) for any 20 trading days within a 30-trading day period ending three trading days before we send the notice of redemption to the warrant 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adjustments to the number of shares issuable upon exercise or the exercise price of a warrant as described under the heading “—Warrants—Public Shareholders’ Warrants—Anti-dilution Adjustments”) as well as the $11.50 (for whole shares) warrant exercise price after the redemption notice is issued.</w:t>
      </w:r>
    </w:p>
    <w:p>
      <w:pPr>
        <w:spacing w:after="0" w:line="185"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Redemption of warrants when the price per Class A ordinary share equals or exceeds $10.00</w:t>
      </w:r>
      <w:r>
        <w:rPr>
          <w:rFonts w:ascii="Times New Roman" w:cs="Times New Roman" w:eastAsia="Times New Roman" w:hAnsi="Times New Roman"/>
          <w:sz w:val="18"/>
          <w:szCs w:val="18"/>
          <w:color w:val="auto"/>
        </w:rPr>
        <w:t>. 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w:t>
      </w:r>
    </w:p>
    <w:p>
      <w:pPr>
        <w:spacing w:after="0" w:line="66"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28" w:lineRule="exact"/>
        <w:rPr>
          <w:rFonts w:ascii="Times New Roman" w:cs="Times New Roman" w:eastAsia="Times New Roman" w:hAnsi="Times New Roman"/>
          <w:sz w:val="18"/>
          <w:szCs w:val="18"/>
          <w:color w:val="auto"/>
        </w:rPr>
      </w:pPr>
    </w:p>
    <w:p>
      <w:pPr>
        <w:ind w:left="1080" w:right="40" w:hanging="424"/>
        <w:spacing w:after="0" w:line="267"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$0.10 per warrant upon a minimum of 30 days’ prior written notice of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holders will be able to exercise their warrants on a cashless basis prior to redemption and receive that number of shares determined by reference to the table below, based on the redemption date and the “fair market value” of our Class A ordinary shares (as defined below) except as otherwise described below;</w:t>
      </w:r>
    </w:p>
    <w:p>
      <w:pPr>
        <w:spacing w:after="0" w:line="8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our Class A ordinary shares equals or exceeds $10.00 per public share (as adjusted for adjustments to the number of shares issuable upon exercise or the exercise price of a warrant as described under the heading “—Warrants—Public Shareholders’ Warrants—Anti-Dilution Adjustments”) for any 20 trading days within the 30-trading day period ending three trading days before we send the notice of redemption to the warrant holders; and</w:t>
      </w:r>
    </w:p>
    <w:p>
      <w:pPr>
        <w:spacing w:after="0" w:line="85"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“—Warrants—Public Shareholders’ Warrants—Anti-dilution Adjustments”), the private placement warrants must also be concurrently called for redemption on the same terms as the outstanding public warrants, as described above.</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warrants are redeemed or exercised, holders may elect to exercise their warrants on a cashless basis. The numbers in the table below represent the number of Class A ordinary shares that a warrant holder will receive upon such cashless exercise in connection with a redemption by us pursuant to this redemption feature, based on the “fair market value” of our Class A ordinary shares on the corresponding redemption date (assuming holders elect to exercise their warrants and such warrants are not redeemed for $0.10 per warrant), determined for these purposes based on volume 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9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Pursuant to the warrant agreement, references above to Class A ordinary shares shall include a security other than Class A ordinary shares into which the Class A ordinary shares have been converted or exchanged for in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55" w:right="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event we are not the surviving company in our initial business combination. The numbers in the table below will not be adjusted when determining the number of Class A ordinary shares to be issued upon exercise of the warrants if we are not the surviving entity following our initial business combination.</w:t>
      </w:r>
    </w:p>
    <w:p>
      <w:pPr>
        <w:spacing w:after="0" w:line="176"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7"/>
          <w:szCs w:val="17"/>
          <w:color w:val="auto"/>
        </w:rPr>
        <w:t>The share prices set forth in the column headings of the table below will be adjusted as of any date on which the number of shares issuable upon exercise of a warrant or the exercise price of a warrant is adjusted as set forth under the heading “—Anti-dilution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“—Anti-dilution Adjustments” below, the adjusted share prices in the column headings will equal the unadjusted share price multiplied by a fraction, the numerator of which is the higher of the Market Value and the Newly Issued Price as set forth under the heading “—Anti-dilution Adjustments” and the denominator of which is $10.00 and</w:t>
      </w:r>
    </w:p>
    <w:p>
      <w:pPr>
        <w:spacing w:after="0" w:line="5" w:lineRule="exact"/>
        <w:rPr>
          <w:sz w:val="20"/>
          <w:szCs w:val="20"/>
          <w:color w:val="auto"/>
        </w:rPr>
      </w:pPr>
    </w:p>
    <w:p>
      <w:pPr>
        <w:ind w:left="120" w:right="60" w:hanging="4"/>
        <w:spacing w:after="0" w:line="290" w:lineRule="auto"/>
        <w:tabs>
          <w:tab w:leader="none" w:pos="37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adjustment pursuant to the second paragraph under the heading “—Anti-dilution Adjustments” below, the adjusted share prices in the column headings will equal the unadjusted share price less the decrease in the exercise price of a warrant pursuant to such exercise price adjustment.</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30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Fair Market Value of Class A Ordinary Shares</w:t>
            </w: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80" w:type="dxa"/>
            <w:vAlign w:val="bottom"/>
            <w:vMerge w:val="continue"/>
          </w:tcPr>
          <w:p>
            <w:pPr>
              <w:spacing w:after="0"/>
              <w:rPr>
                <w:sz w:val="9"/>
                <w:szCs w:val="9"/>
                <w:color w:val="auto"/>
              </w:rPr>
            </w:pPr>
          </w:p>
        </w:tc>
        <w:tc>
          <w:tcPr>
            <w:tcW w:w="3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(period to expiration of warrants)</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&lt;10.00</w:t>
            </w:r>
          </w:p>
        </w:tc>
        <w:tc>
          <w:tcPr>
            <w:tcW w:w="16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11.00</w:t>
            </w:r>
          </w:p>
        </w:tc>
        <w:tc>
          <w:tcPr>
            <w:tcW w:w="16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12.00</w:t>
            </w:r>
          </w:p>
        </w:tc>
        <w:tc>
          <w:tcPr>
            <w:tcW w:w="18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13.00</w:t>
            </w:r>
          </w:p>
        </w:tc>
        <w:tc>
          <w:tcPr>
            <w:tcW w:w="16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14.00</w:t>
            </w:r>
          </w:p>
        </w:tc>
        <w:tc>
          <w:tcPr>
            <w:tcW w:w="16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15.00</w:t>
            </w:r>
          </w:p>
        </w:tc>
        <w:tc>
          <w:tcPr>
            <w:tcW w:w="16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16.00</w:t>
            </w:r>
          </w:p>
        </w:tc>
        <w:tc>
          <w:tcPr>
            <w:tcW w:w="160" w:type="dxa"/>
            <w:vAlign w:val="bottom"/>
          </w:tcPr>
          <w:p>
            <w:pPr>
              <w:spacing w:after="0"/>
              <w:rPr>
                <w:sz w:val="16"/>
                <w:szCs w:val="16"/>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17.00</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&gt;18.00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60 months</w:t>
            </w:r>
          </w:p>
        </w:tc>
        <w:tc>
          <w:tcPr>
            <w:tcW w:w="30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0.261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3"/>
              </w:rPr>
              <w:t>0.281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3"/>
              </w:rPr>
              <w:t>0.297</w:t>
            </w: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3"/>
              </w:rPr>
              <w:t>0.311</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3"/>
              </w:rPr>
              <w:t>0.324</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3"/>
              </w:rPr>
              <w:t>0.337</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3"/>
              </w:rPr>
              <w:t>0.348</w:t>
            </w: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3"/>
              </w:rPr>
              <w:t>0.358</w:t>
            </w: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57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0.257</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0.277</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0.294</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0.310</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0.324</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0.337</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0.348</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0.358</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0.252</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0.272</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0.291</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0.307</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0.322</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0.335</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0.347</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0.357</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51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0.246</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0.268</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0.287</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0.304</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0.320</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0.333</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0.346</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0.357</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0.241</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0.263</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0.283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0.317</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0.332</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0.344</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0.356</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45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0.235</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0.258</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0.279</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0.298</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0.315</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0.330</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0.343</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0.356</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0.228</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0.252</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0.274</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0.294</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0.312</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0.328</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0.342</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0.355</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39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0.221</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0.246</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0.269</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0.290</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0.309</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0.325</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0.340</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0.354</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0.239</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0.263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0.305</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0.323</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0.339</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0.353</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33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0.205</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0.232</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0.257</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0.280</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0.320</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0.337</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0.352</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0.196</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0.224</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0.250</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0.274</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0.297</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0.316</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0.335</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0.351</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27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0.185</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0.214</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0.242</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0.268</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0.291</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0.313</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0.332</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0.350</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0.204</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0.233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0.260</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0.308</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0.329</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0.348</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21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0.161</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0.193</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0.223</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0.252</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0.279</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0.304</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0.326</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0.347</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0.146</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0.179</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0.211</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0.242</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0.271</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0.298</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0.322</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0.345</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15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0.130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0.164</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0.197</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0.230</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0.262</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0.291</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0.317</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0.342</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0.111</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0.146</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0.181</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0.216</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0.250</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0.282</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0.312</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0.339</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9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0.090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0.125</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0.162</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0.199</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0.237</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0.272</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0.305</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0.336</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3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0.065</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0.099</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0.137</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0.178</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0.219</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0.259</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0.296</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0.331</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3 months</w:t>
            </w:r>
          </w:p>
        </w:tc>
        <w:tc>
          <w:tcPr>
            <w:tcW w:w="3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0.034</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0.065</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0.104</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0.150</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0.197</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0.243</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0.286</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0.326</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30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0.042</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0.115</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0.179</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0.233</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0.281</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0.323</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ordinary shares during the 10 trading days immediately following the date on which the notice of redemption is sent to the holders of the warrants is $11.00 per share,</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40"/>
          </w:cols>
          <w:pgMar w:left="320" w:top="455"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and at such time there are 57 months until the expiration of the warrants, holders may choose to, in connection with this redemption feature, exercise their warrants for 0.277 Class A ordinary shares for each whole warrant. For an example where the exact fair market value and redemption date are not as set forth in the table above, if the volume weighted average price of our Class A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on a cashless basis in connection with this redemption feature for more than 0.361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ordinary shares.</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redemption feature differs from the typical warrant redemption features used in many other blank check offerings, which typically only provide for a redemption of warrants for cash (other than the private placement warrants) when the trading price for the Class A ordinary shares exceeds $18.00 per share for a specified period of time. This redemption feature is structured to allow for all of the outstanding warrants to be redeemed when the Class A ordinary shares are trading at or above $10.00 per public share, which may be at a time when the trading price of our Class A ordinary shares is below the exercise price of the warrants. We have established this redemption feature to provide us with the flexibility to redeem the warrants without the warrants having to reach the $18.00 per share threshold set forth above under “—Redemption of warrants when the price per Class A ordinary share equals or exceeds $18.00.” Holders choosing to exercise their warrants in connection with a redemption pursuant to this feature will, in effect, receive a number of shares for their warrants based on an option pricing model with a fixed volatility input as of the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stated above, we can redeem the warrants when the Class A ordinary shares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Ownership limit.</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spacing w:after="0" w:line="17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Class A ordinary shares is increased by a capitalization or share dividend payable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or by a sub-division of ordinary shares or other similar event, then, on the effective date of such capitalization or share dividend,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“historical fair market value” (as defined below)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 share paid in such rights offering and (y) the historical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“historical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189"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7"/>
          <w:szCs w:val="17"/>
          <w:color w:val="auto"/>
        </w:rPr>
        <w:t>In addition, if we, at any time while the warrants are outstanding and unexpired, pay a dividend or make a distribution in cash, securities or other assets to all or substantially all of the holders of the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Class A ordinary shares issuable on exercise of each warrant) but only with respect to the amount of the aggregate cash dividends or cash distributions equal to or less than $0.50 per share,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w:t>
      </w:r>
    </w:p>
    <w:p>
      <w:pPr>
        <w:spacing w:after="0" w:line="5" w:lineRule="exact"/>
        <w:rPr>
          <w:sz w:val="20"/>
          <w:szCs w:val="20"/>
          <w:color w:val="auto"/>
        </w:rPr>
      </w:pPr>
    </w:p>
    <w:p>
      <w:pPr>
        <w:ind w:left="420" w:hanging="304"/>
        <w:spacing w:after="0"/>
        <w:tabs>
          <w:tab w:leader="none" w:pos="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substance or timing of our obligation to provide holders of our Class A ordinary shares the right to have their shares redeemed in</w:t>
      </w:r>
    </w:p>
    <w:p>
      <w:pPr>
        <w:spacing w:after="0" w:line="9" w:lineRule="exact"/>
        <w:rPr>
          <w:rFonts w:ascii="Times New Roman" w:cs="Times New Roman" w:eastAsia="Times New Roman" w:hAnsi="Times New Roman"/>
          <w:sz w:val="18"/>
          <w:szCs w:val="18"/>
          <w:color w:val="auto"/>
        </w:rPr>
      </w:pPr>
    </w:p>
    <w:p>
      <w:pPr>
        <w:jc w:val="both"/>
        <w:ind w:left="120" w:right="1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or</w:t>
      </w:r>
    </w:p>
    <w:p>
      <w:pPr>
        <w:ind w:left="12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in connection with the redemption of our public shares upon our failure to complete our initial business combination, then the warrant exercise price will be decreased, effective immediately after the effective date of such event, by the amount of cash or the fair market value of any securities or other assets paid on each Class A ordinary share in respect of such event.</w:t>
      </w:r>
    </w:p>
    <w:p>
      <w:pPr>
        <w:spacing w:after="0" w:line="18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the number of outstanding Class A ordinary shares is decreased by a consolidation, combination or reclassification of Class A ordinary shares or other similar event, then, on the effective date of such consolidation, combination, reclassification or similar event, the number of Class A ordinary shares issuable on exercise of each warrant will be decreased in proportion to such decrease in outstanding Class A ordinary shares.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and (ii) to the extent that such issuance is made to our sponsor or its affiliates, without taking into account the transfer of founder shares or private placement warrants (including if such transfer is effectuated as a surrender to us and subsequent reissuance by us) by our sponsor in connection with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above under “—Redemption of warrants when the price per Class A ordinary share equals or exceeds $18.00” and “—Redemption of warrants when the price per Class A ordinary shares equals or exceeds $10.00” will be adjusted (to the nearest cent) to be equal to 180% of the higher of the Market Value and the Newly Issued Price, and the $10.00 per share redemption trigger price described above under “—Redemption of warrants when the price per Class A ordinary share equals or exceeds $10.00” will be adjusted (to the nearest cent) to be equal to the higher of the Market Value and the Newly Issued Price.</w:t>
      </w:r>
    </w:p>
    <w:p>
      <w:pPr>
        <w:spacing w:after="0" w:line="19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Class A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Act) and any members of any such group of which any such affiliate or associate is a part, own beneficially (within the meaning of Rule 13d-3 under the Exchange Act) more than 50% of the issued and outstanding Class A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8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You should review a copy of the warrant agreement, which will be filed as an exhibit to the registration statement of which this prospectus is a part, for a complete description of the terms and conditions applicable to the warrants.</w:t>
      </w:r>
    </w:p>
    <w:p>
      <w:pPr>
        <w:spacing w:after="0" w:line="194"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Class A ordinary shares to be issued to the warrant holder.</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described below, the private placement warrants have terms and provisions that are identical to those of the warrants being sold as part of the units in this offering. The private placement warrants (including the Class A ordinary shares issuable upon exercise of the private placement warrants) will not be transferable, assignable or salable until 30 days after the completion of our initial business combination (except pursuant to limited exceptions as described under “Principal Shareholders—Transfers of Founder Shares and Private Placement Warrants,” to our officers and directors and other persons or entities affiliated with the initial purchasers of the private placement warrants) and they will not be redeemable by us (except as described under “—Warrants—Public Shareholders’ Warrants—Redemption of warrants when the price per Class A ordinary share equals or exceeds $10.00”) so long as they are held by our sponsor or its permitted transferees (except as otherwise set forth herein). Our sponsor, or its permitted transferees, has the option to exercise the private placement warrants on a cashless basis. If the private placement warrants are held by holders other than our sponsor or its permitted transferees, the private placement warrants will be redeemable by us in all redemption scenarios and exercisable by the holders on the same basis as the warrants included in the units being sold in this offering. Any amendment to the terms of the private placement warrants or any provision of the warrant agreement with respect to the private placement warrants will require a vote of holders of at least 50% of the number of the then outstanding private placement warrants.</w:t>
      </w:r>
    </w:p>
    <w:p>
      <w:pPr>
        <w:spacing w:after="0" w:line="19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Except as described above under “—Public Shareholders’ Warrants—Redemption of warrants when the price per Class A ordinary share equals or exceeds $10.00,” 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“Sponsor fair market value” (defined below) over the exercise price of the warrants by (y) our sponsor fair market value. For these purposes, the “Sponsor fair market value” shall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9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To fund working capital deficiencies or finance transaction costs in connection with an intended initial business combination, our sponsor or an affiliate of our sponsor or certain of our officers and directors may, but are not obligated to, loan us funds as may be required. Up to $2,000,000 of such loans may be convertible into warrants of the post business combination entity at a price of $1.50 per warrant at the option of the lender. Such warrants would be identical to the private placement warrants.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our ordinary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the size of this offering, then we will effect a share capitalization with respect to our founder shares immediately prior to the consummation of this offering in such amount as to maintain the number of founder shares at 20% of our issued and outstanding ordinary shares upon the consummation of this offering. Further, if we incur any indebtedness, our ability to declare dividends may be limited by restrictive covenants we may agree to in connection therewith.</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Differences in Corporate Law</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spacing w:after="0" w:line="178"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In certain circumstances, the Companies Act allows for mergers or consolidations between two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companies, or between a Cayman Islands exempted company and a company incorporated in another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is facilitated by the laws of that other jurisdiction).</w:t>
      </w:r>
    </w:p>
    <w:p>
      <w:pPr>
        <w:spacing w:after="0" w:line="17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 majority of 66 2/3 % in value of the voting shares voted at a shareholder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192"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180" w:lineRule="exact"/>
        <w:rPr>
          <w:sz w:val="20"/>
          <w:szCs w:val="20"/>
          <w:color w:val="auto"/>
        </w:rPr>
      </w:pPr>
    </w:p>
    <w:p>
      <w:pPr>
        <w:ind w:left="120" w:right="240" w:firstLine="440"/>
        <w:spacing w:after="0" w:line="276" w:lineRule="auto"/>
        <w:rPr>
          <w:sz w:val="20"/>
          <w:szCs w:val="20"/>
          <w:color w:val="auto"/>
        </w:rPr>
      </w:pPr>
      <w:r>
        <w:rPr>
          <w:rFonts w:ascii="Times New Roman" w:cs="Times New Roman" w:eastAsia="Times New Roman" w:hAnsi="Times New Roman"/>
          <w:sz w:val="17"/>
          <w:szCs w:val="17"/>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w:t>
      </w:r>
    </w:p>
    <w:p>
      <w:pPr>
        <w:spacing w:after="0" w:line="1" w:lineRule="exact"/>
        <w:rPr>
          <w:sz w:val="20"/>
          <w:szCs w:val="20"/>
          <w:color w:val="auto"/>
        </w:rPr>
      </w:pPr>
    </w:p>
    <w:p>
      <w:pPr>
        <w:ind w:left="120" w:hanging="4"/>
        <w:spacing w:after="0" w:line="252" w:lineRule="auto"/>
        <w:tabs>
          <w:tab w:leader="none" w:pos="3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8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Where the above procedures are adopted, the Companies Act provides for a right of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w:t>
      </w:r>
    </w:p>
    <w:p>
      <w:pPr>
        <w:spacing w:after="0" w:line="2" w:lineRule="exact"/>
        <w:rPr>
          <w:sz w:val="20"/>
          <w:szCs w:val="20"/>
          <w:color w:val="auto"/>
        </w:rPr>
      </w:pPr>
    </w:p>
    <w:p>
      <w:pPr>
        <w:ind w:left="120" w:right="80" w:hanging="4"/>
        <w:spacing w:after="0" w:line="251" w:lineRule="auto"/>
        <w:tabs>
          <w:tab w:leader="none" w:pos="3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93" w:lineRule="exact"/>
        <w:rPr>
          <w:sz w:val="20"/>
          <w:szCs w:val="20"/>
          <w:color w:val="auto"/>
        </w:rPr>
      </w:pPr>
    </w:p>
    <w:p>
      <w:pPr>
        <w:ind w:left="120" w:right="420" w:firstLine="440"/>
        <w:spacing w:after="0" w:line="289" w:lineRule="auto"/>
        <w:rPr>
          <w:sz w:val="20"/>
          <w:szCs w:val="20"/>
          <w:color w:val="auto"/>
        </w:rPr>
      </w:pPr>
      <w:r>
        <w:rPr>
          <w:rFonts w:ascii="Times New Roman" w:cs="Times New Roman" w:eastAsia="Times New Roman" w:hAnsi="Times New Roman"/>
          <w:sz w:val="17"/>
          <w:szCs w:val="17"/>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80"/>
          </w:cols>
          <w:pgMar w:left="320" w:top="455" w:right="4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an annual shareholder meeting, or extraordinary shareholder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94" w:lineRule="exact"/>
        <w:rPr>
          <w:sz w:val="20"/>
          <w:szCs w:val="20"/>
          <w:color w:val="auto"/>
        </w:rPr>
      </w:pPr>
    </w:p>
    <w:p>
      <w:pPr>
        <w:ind w:left="1080" w:right="26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proposing to act illegally or beyond the scope of our corporate authority and the statutory provisions as to majority vote have been complied with;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as a businessman would reasonably approve;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7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Squeeze-out Provisions. </w:t>
      </w:r>
      <w:r>
        <w:rPr>
          <w:rFonts w:ascii="Times New Roman" w:cs="Times New Roman" w:eastAsia="Times New Roman" w:hAnsi="Times New Roman"/>
          <w:sz w:val="18"/>
          <w:szCs w:val="18"/>
          <w:color w:val="auto"/>
        </w:rPr>
        <w:t>When a takeover offer is made and accepted by holders of 90% of the shares to whom the offer relates within four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82" w:lineRule="exact"/>
        <w:rPr>
          <w:sz w:val="20"/>
          <w:szCs w:val="20"/>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Further, transactions similar to a merger, reconstruction or an amalgamation may in some circumstances be achieved through means other than these statutory provisions, such as a share capital exchange, asset acquisition or control, or through contractual arrangements of an operating business.</w:t>
      </w:r>
    </w:p>
    <w:p>
      <w:pPr>
        <w:spacing w:after="0" w:line="138"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Maples and Calder, our Cayman Islands counsel, is not aware of any reported class action having been brought in a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90"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which have actually been obtained;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160"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Enforcement of Civil Liabilities. </w:t>
      </w:r>
      <w:r>
        <w:rPr>
          <w:rFonts w:ascii="Times New Roman" w:cs="Times New Roman" w:eastAsia="Times New Roman" w:hAnsi="Times New Roman"/>
          <w:sz w:val="18"/>
          <w:szCs w:val="18"/>
          <w:color w:val="auto"/>
        </w:rPr>
        <w:t>The Cayman Islands has a different body of securities laws as compared to the United States and provides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to investors. Additionally, Cayman Islands companies may not have standing to sue before the Federal courts of the United States.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40"/>
          </w:cols>
          <w:pgMar w:left="320" w:top="455"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been advised by Maples and Calder, our Cayman Islands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Special Considerations for Exempted Companies. </w:t>
      </w:r>
      <w:r>
        <w:rPr>
          <w:rFonts w:ascii="Times New Roman" w:cs="Times New Roman" w:eastAsia="Times New Roman" w:hAnsi="Times New Roman"/>
          <w:sz w:val="18"/>
          <w:szCs w:val="18"/>
          <w:color w:val="auto"/>
        </w:rPr>
        <w:t>We are an exempted company with limited liability under the Companies Act. The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87"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shareholder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negotiable or bearer shares or shares with no par value;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225"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Amended and Restated Memorandum and Articles of Association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under Cayman Islands law.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shareholder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shareholder meeting of the company (i.e., the lowest threshold permissible under Cayman Islands law), or by a unanimous written resolution of all of our shareholders. Further, our amended and restated memorandum and articles of association provide that a quorum at our shareholder meetings will consist of not less than one-third of the ordinary shares entitled to vote at such meeting being present in person or by proxy; provided that a quorum of a majority of the ordinary shares entitled to vote at such meeting being present in person or by proxy is required for any meeting that is convened to vote on a business combination or any amendment to our amended and restated memorandum and articles of association that would modify (A)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any other provision relating to the rights of holders of our Class A ordinary shares a majority of the ordinary shares entitled to vote at such meeting being present in person or by proxy.</w:t>
      </w:r>
    </w:p>
    <w:p>
      <w:pPr>
        <w:spacing w:after="0" w:line="19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sponsor and its permitted transferees, if any, who will collectively beneficially own 20% of our ordinary shares upon the closing of this offering (assuming they do not purchase any units in this offering), will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85" w:lineRule="exact"/>
        <w:rPr>
          <w:sz w:val="20"/>
          <w:szCs w:val="20"/>
          <w:color w:val="auto"/>
        </w:rPr>
      </w:pPr>
    </w:p>
    <w:p>
      <w:pPr>
        <w:ind w:left="1080" w:hanging="424"/>
        <w:spacing w:after="0" w:line="254"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not consummated an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93"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in connection with our initial business combination, we may not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 (y) amend the foregoing provisions;</w:t>
      </w:r>
    </w:p>
    <w:p>
      <w:pPr>
        <w:spacing w:after="0" w:line="88"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 opinion from an independent investment banking firm or an independent accounting firm that such a business combination is fair to our company from a financial point of view;</w:t>
      </w:r>
    </w:p>
    <w:p>
      <w:pPr>
        <w:spacing w:after="0" w:line="85"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vote on our initial business combination is not required by law and we do not decide to hold a shareholder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60"/>
        <w:spacing w:after="0" w:line="282" w:lineRule="auto"/>
        <w:rPr>
          <w:sz w:val="20"/>
          <w:szCs w:val="20"/>
          <w:color w:val="auto"/>
        </w:rPr>
      </w:pPr>
      <w:r>
        <w:rPr>
          <w:rFonts w:ascii="Times New Roman" w:cs="Times New Roman" w:eastAsia="Times New Roman" w:hAnsi="Times New Roman"/>
          <w:sz w:val="18"/>
          <w:szCs w:val="18"/>
          <w:color w:val="auto"/>
        </w:rPr>
        <w:t>financial and other information about our initial business combination and the redemption rights as is required under Regulation 14A of the Exchange Act;</w:t>
      </w:r>
    </w:p>
    <w:p>
      <w:pPr>
        <w:spacing w:after="0" w:line="67" w:lineRule="exact"/>
        <w:rPr>
          <w:sz w:val="20"/>
          <w:szCs w:val="20"/>
          <w:color w:val="auto"/>
        </w:rPr>
      </w:pPr>
    </w:p>
    <w:p>
      <w:pPr>
        <w:jc w:val="both"/>
        <w:ind w:left="1080" w:right="60" w:hanging="424"/>
        <w:spacing w:after="0" w:line="26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the agreement to enter into the initial business combination;</w:t>
      </w:r>
    </w:p>
    <w:p>
      <w:pPr>
        <w:spacing w:after="0" w:line="81"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shareholders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we will provide our public shareholders with the opportunity to redeem all or a portion of their ordinary shares upon such approval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herein; and</w:t>
      </w:r>
    </w:p>
    <w:p>
      <w:pPr>
        <w:spacing w:after="0" w:line="9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effectuate our initial business combination with another blank check company or a similar company with nominal operations.</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addition, our amended and restated memorandum and articles of association will provide that under no circumstances will we redeem our public shares in an amount that would cause our net tangible assets to be less than $5,000,001.</w:t>
      </w:r>
    </w:p>
    <w:p>
      <w:pPr>
        <w:spacing w:after="0" w:line="162"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The Companies Act permits a company incorporated in the Cayman Islands to amend its memorandum and articles of association with the approval of a special resolution which requires the approval of the holders of at least two-thirds of such company’s issued and outstanding ordinary shares who attend and vote at a shareholder meeting or by way of unanimous written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Anti-Money Laundering—Cayman Islands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any person in the Cayman Islands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(As Revised) of the Cayman Islands if the disclosure relates to criminal conduct or money laundering, or (ii) a police officer of the rank of constable or higher, or the Financial Reporting Authority, pursuant to the Terrorism Law (As Revised)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Data Protection—Cayman Islands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have certain duties under the Data Protection Act, 2017 of the Cayman Islands (the “DPA”) based on internationally accepted principles of data privacy.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Privacy Notice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This privacy notice puts our shareholders on notice that through your investment in the company you will provide us with certain personal information which constitutes personal data within the meaning of the DPA (“personal data”). In the following discussion, the “company” refers to us and our affiliates or delegates, except where the context requires otherwise.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also obtain personal data from other public sources. Personal data includes, without limitation, the following information relating to a shareholder 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the Company May Use a Shareholder’s Personal Data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31" w:lineRule="exact"/>
        <w:rPr>
          <w:sz w:val="20"/>
          <w:szCs w:val="20"/>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our rights and obligations under any purchase agreements;</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we are subject (such as compliance with anti-money laundering and FATCA/CRS requirements);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60" w:hanging="532"/>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Should we wish to use personal data for other specific purposes (including, if applicable, any purpose that requires your consent), we will contact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Why We May Transfer Your Personal Data</w:t>
      </w:r>
    </w:p>
    <w:p>
      <w:pPr>
        <w:spacing w:after="0" w:line="119"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anticipates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Data Protection Measures We Take</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Any transfer of personal data by us or our duly authorized affiliates or delegates outside of the Cayman Islands shall be in accordance with the requirements of the DPA.</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and our duly authorized affiliates 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our Amended and Restated Memorandum and Articles of Association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our board of directors will be classified into three classes of directors. As a result, in most circumstances, a person can gain control of our board only by successfully engaging in a proxy contest at two or more annual shareholder meetings.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authorized but unissued Class A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Immediately after this offering we will have 109,375,000 ordinary shares (or 125,781,250 ordinary shares if the underwriters’ over-allotment option is exercised in full) issued and outstanding on an as-converted basis. Of these shares, the Class A ordinary shares sold in this offering (87,500,000 Class A ordinary shares if the underwriters’ over-allotment option is not exercised and 100,625,000 Class A ordinary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(21,875,000 founder shares if the underwriters’ over-allotment option is not exercised and 25,156,250 founder shares if the underwriters’ over-allotment option is exercised in full) and all of the outstanding private placement warrants (15,000,000 private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placement warrants if the underwriters’ over-allotment option is not exercised and 16,750,000 private placement warrants if the underwriter’s over-allotment option is exercised in full) will be restricted securities under Rule 144, in that they were issued in private transactions not involving a public offering.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Rule 144</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spacing w:after="0" w:line="183"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1" w:lineRule="exact"/>
        <w:rPr>
          <w:sz w:val="20"/>
          <w:szCs w:val="20"/>
          <w:color w:val="auto"/>
        </w:rPr>
      </w:pPr>
    </w:p>
    <w:p>
      <w:pPr>
        <w:ind w:left="1080" w:right="76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ordinary shares then outstanding, which will equal 1,093,750 shares immediately after this offering (or 1,257,813 shares if the underwriters exercise their over-allotment option in full); or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ordinary shares during the four calendar weeks preceding the filing of a notice on Form 144 with respect to the sale.</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As a result, our sponsor will be able to sell its founder shares and private placement warrants, as applicable, pursuant to Rule 144 without registration one year after we have completed our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and Shareholder Rights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will be entitled to registration rights pursuant to a registration and shareholder rights agreement to be signed prior to or on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effective date of this offering.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as described in the following paragraph, and (ii)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Except as described herein, our sponsor and our directors and executive officers have agreed not to transfer, assign or sell any of their founder shares until (i) one year after the completion of our initial business combination, or (ii) the date on which we complete a liquidation, merger, share exchange or other similar transaction after our initial business combination that results in all of our shareholders having the right to exchange their Class A ordinary shares for cash, securities or other property. Any permitted transferees will be subject to the same restrictions and other agreements of our sponsor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pursuant to the registration and shareholder rights agreement, our sponsor, upon consummation of an initial business combination, will be entitled to nominate three individuals for election to our board of directors, as long as our sponsor holds any securities covered by the registration and shareholder rights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intend to apply to have our units listed on the NYSE under the symbol “ ”. Once the securities comprising the units begin separate trading, we expect that the Class A ordinary shares and warrants will be listed on the NYSE under the symbols “ ” and “ ,”</w:t>
      </w: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respectively. The units will automatically separate into their component parts and will not be traded following the completion of our initial business combination.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Cayman Islands and U.S. federal income tax consequences of an investment in our units, each consisting of one Class A ordinary share and one-fifth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advisors on the possible tax consequences of investing in our securities under the laws of their country of citizenship, residence or domicile.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 Existing Cayman Islands Laws: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corporate or capital gains tax and no estate duty, inheritance tax or gift tax.</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of the issue of the warrants. An instrument of transfer in respect of a warrant is stampable if executed in or brought into the Cayman Islands.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stamp duty is payable in respect of the issue of our Class A ordinary shares or on an instrument of transfer in respect of such shares.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has been incorporated under the laws of the Cayman Islands as an exempted company with limited liability and, as such, has applied for and received an undertaking from the Financial Secretary of the Cayman Islands in the following form:</w:t>
      </w: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Tax Concessions Act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Revised)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Undertaking as to Tax Concessions</w:t>
      </w:r>
    </w:p>
    <w:p>
      <w:pPr>
        <w:spacing w:after="0" w:line="20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the provision of Section 6 of The Tax Concessions Act (As Revised), the Financial Secretary undertakes with Ares Acquisition Corporation II (the “Company”):</w:t>
      </w:r>
    </w:p>
    <w:p>
      <w:pPr>
        <w:spacing w:after="0" w:line="67" w:lineRule="exact"/>
        <w:rPr>
          <w:sz w:val="20"/>
          <w:szCs w:val="20"/>
          <w:color w:val="auto"/>
        </w:rPr>
      </w:pPr>
    </w:p>
    <w:p>
      <w:pPr>
        <w:ind w:left="540" w:right="300" w:hanging="424"/>
        <w:spacing w:after="0" w:line="282"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hereafter enacted in the Islands imposing any tax to be levied on profits, income, gains or appreciations shall apply to the Company or its operations; and</w:t>
      </w:r>
    </w:p>
    <w:p>
      <w:pPr>
        <w:spacing w:after="0" w:line="67" w:lineRule="exact"/>
        <w:rPr>
          <w:rFonts w:ascii="Times New Roman" w:cs="Times New Roman" w:eastAsia="Times New Roman" w:hAnsi="Times New Roman"/>
          <w:sz w:val="18"/>
          <w:szCs w:val="18"/>
          <w:color w:val="auto"/>
        </w:rPr>
      </w:pPr>
    </w:p>
    <w:p>
      <w:pPr>
        <w:ind w:left="540" w:right="320" w:hanging="424"/>
        <w:spacing w:after="0" w:line="282"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that no tax to be levied on profits, income, gains or appreciations or which is in the nature of estate duty or inheritance tax shall be payable:</w:t>
      </w:r>
    </w:p>
    <w:p>
      <w:pPr>
        <w:spacing w:after="0" w:line="6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On or in respect of the shares, debentures or other obligations of the Company; or</w:t>
      </w:r>
    </w:p>
    <w:p>
      <w:pPr>
        <w:spacing w:after="0" w:line="13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by way of the withholding in whole or part, of any relevant payment as defined in Section 6(3) of the Tax Concessions Act (As Revised).</w:t>
      </w:r>
    </w:p>
    <w:p>
      <w:pPr>
        <w:spacing w:after="0" w:line="225"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These concessions shall be for a period of 20 years from the date hereof.</w:t>
      </w:r>
    </w:p>
    <w:p>
      <w:pPr>
        <w:spacing w:after="0" w:line="158"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summarizes certain U.S. federal income tax considerations generally applicable to the acquisition, ownership and disposition of our units (each consisting of one Class A ordinary share and one-fifth of one redeemable warrant) that are purchased in this offering by U.S. Holders (as defined below) and Non-U.S. Holders (as defined below). Because the components of a unit are generally separable at the option of the holder, the holder of a unit generally should be treated, for U.S. federal income tax purposes, as the 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This discussion is limited to certain U.S. federal income tax considerations to beneficial owners of our securities who are initial purchasers of a unit pursuant to this offering and hold the unit and each component of the unit as a capital asset within the meaning of Section 1221 of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including:</w:t>
      </w:r>
    </w:p>
    <w:p>
      <w:pPr>
        <w:spacing w:after="0" w:line="94"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or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accounting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shares;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securities pursuant to an exercise of employee share options, in connection with employee share incentive plans or otherwise as compensation or in connection with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securities as part of a straddle, constructive sale, hedging, conversion or other integrated or similar transaction;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7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units, Class A ordinary shares or warrants that is for U.S. federal income tax purposes: (i) an individual citizen or resident of the United States; (ii) 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United States persons have the authority to control all substantial decisions of the trust, or (B) it has in effect a valid election to be treated as a United States person.</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If you are a partner of a partnership holding our securities, we urge you to consult your tax advisor.</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STATE, LOCAL, AND NON-UNITED STATES TAX LAWS.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Allocation of Purchase Price and Characterization of a Unit</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Class A ordinary share and one-fifth of one warrant, a whole one of which is exercisable to acquire one Class A ordinary share. We intend to treat the acquisition of a unit in this manner and, by purchasing a unit, you must adopt such treatment for applicable tax purposes. For U.S. federal income tax purposes, each holder of a unit will agree to allocate the purchase price paid by such holder for such unit between the one Class A ordinary share and the one-fifth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adviser regarding the determination of value for these purposes. The price allocated to each Class A ordinary share and one-fifth of one warrant should constitute the shareholder’s initial tax basis in such share or warrant. Any disposition of a unit should be treated for U.S. federal income tax purposes as a disposition of the Class A ordinary share and one-fifth of one warrant comprising the unit, and the amount realized on the disposition should be allocated between the Class A ordinary share and one-fifth of one warrant based on their respective relative fair market values at the time of disposition (as determined by each such unit holder based on all relevant facts and circumstances). Neither the separation of the Class A ordinary share and the one-fifth of one warrant constituting a unit nor the combination of thirds of warrants into a single warrant should be a taxable event for U.S. federal income tax purposes.</w:t>
      </w:r>
    </w:p>
    <w:p>
      <w:pPr>
        <w:spacing w:after="0" w:line="19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foregoing treatment of the Class A ordinary shares and warrants and a holder’s purchase price allocation are not binding on the IRS or the courts. Because there are no authorities that directly address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instruments that are similar to the units, no assurance can be given that the IRS or the courts will agree with the characterization described above or the discussion below. Accordingly, each prospective investor is urged to consult its tax advisor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below, a U.S. Holder generally will be required to include in gross income as dividends the amount of any distribution paid on our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Subject to the PFIC rules described below,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(see “—Gain or Loss on Sale, Taxable Exchange or Other Taxable Disposition of Class A Ordinary Shares and Warrants” below).</w:t>
      </w:r>
    </w:p>
    <w:p>
      <w:pPr>
        <w:spacing w:after="0" w:line="192"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“—Gain or Loss on Sale, Taxable Exchange or Other Taxable Disposition of Class A Ordinary Shares and Warrants” below) only if our Class A ordinary shares are readily tradable on an established securities market in the United States, the company is not treated as a PFIC at the time the dividend was paid or in the preceding year and provided certain holding period requirements are met. It is unclear, however, whether certain redemption rights described in this prospectus may suspend the running of the applicable holding period for this purpose. U.S. Holders should consult their tax advisors regarding the availability of such lower rate for any dividends paid with respect to our Class A ordinary shares.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Class A Ordinary Shares and Warrants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PFIC rules discussed below, a U.S. Holder generally will recognize capital gain or loss on the sale or other taxable disposition of our Class A ordinary shares or warrants (including on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amount of gain or loss recognized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 based upon the then relative fair market values of the Class A ordinary shares and the warrants included in the units) and (ii) the U.S. Holder’s adjusted tax basis in its Class A ordinary shares or warrants so disposed of. A U.S. Holder’s adjusted tax basis in its Class A ordinary shares and warrants generally will equal the U.S. Holder’s acquisition cost (that is, the portion of the purchase price of a unit allocated to a share of Class A ordinary shares or one-fifth of one warrant, as described above under “—Allocation of Purchase Price and Characterization of a Unit”) reduced, in the case of a Class A ordinary share, by any prior distributions treated as a return of capital. Long-term capital gain realized by a non-corporate U.S. Holder is currently eligible to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taxed at reduced rates. See “—Exercise, Lapse or Redemption of a Warrant” below for a discussion regarding a U.S. Holder’s tax basis in the Class A ordinary share acquired pursuant to the exercise of a warrant. The deduction of capital losses is subject to certain limitations.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Class A Ordinary Shares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the PFIC rules discussed below, in the event that a U.S. Holder’s Class A ordinary shares are redeemed pursuant to the redemption provisions described in this prospectus under “Description of Securities—Ordinary Shares” or if we purchase a U.S. Holder’s Class A ordinary shares in an open market transaction (referred to herein as a “redemption”), the treatment of the redemption for U.S. federal income tax purposes will depend on whether it qualifies as a sale of the Class A ordinary shares under Section 302 of the Code. If the redemption qualifies as a sale of Class A ordinary shares, the U.S. Holder will be treated as described under “—Gain or Loss on Sale, Taxable Exchange or Other Taxable Disposition of Class A Ordinary Shares and Warrants” above. If the redemption does not qualify as a sale of Class A ordinary shares, the U.S. Holder will be treated as receiving a corporate distribution with the tax consequences described above under “—Taxation of Distributions.” Whether a redemption qualifies for sale treatment will depend largely on the total number of our shares treated as held by the U.S. Holder (including any shares constructively owned by the U.S. Holder described in the following paragraph) relative to all of our shares outstanding both before and after such redemption. The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9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our shares actually owned by the U.S. Holder, but also our shares that are constructively owned by it.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our initial business combination, the Class A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Class A ordinary shares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tax advisors as to the tax consequences of a redemption.</w:t>
      </w:r>
    </w:p>
    <w:p>
      <w:pPr>
        <w:spacing w:after="0" w:line="19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none of the foregoing tests are satisfied, then the redemption will be treated as a corporate distribution and the tax effects will be as described under “—Taxation of Distributions” above. After the application of those rules, any remaining tax basis of the U.S. Holder in the redeemed Class A ordinary shares will be added to the U.S. Holder’s adjusted tax basis in its remaining shares, or, if it has none, to the U.S. Holder’s adjusted tax basis in its warrants or possibly in other shares constructively owned by it.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Exercise, Lapse or Redemption of a Warrant</w:t>
      </w:r>
    </w:p>
    <w:p>
      <w:pPr>
        <w:spacing w:after="0" w:line="11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initial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92" w:lineRule="exact"/>
        <w:rPr>
          <w:sz w:val="20"/>
          <w:szCs w:val="20"/>
          <w:color w:val="auto"/>
        </w:rPr>
      </w:pPr>
    </w:p>
    <w:p>
      <w:pPr>
        <w:ind w:left="120" w:right="320" w:firstLine="440"/>
        <w:spacing w:after="0" w:line="274" w:lineRule="auto"/>
        <w:rPr>
          <w:sz w:val="20"/>
          <w:szCs w:val="20"/>
          <w:color w:val="auto"/>
        </w:rPr>
      </w:pPr>
      <w:r>
        <w:rPr>
          <w:rFonts w:ascii="Times New Roman" w:cs="Times New Roman" w:eastAsia="Times New Roman" w:hAnsi="Times New Roman"/>
          <w:sz w:val="17"/>
          <w:szCs w:val="17"/>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In either situation, a U.S. Holder’s tax basis in the Class A ordinary shares received generally would equal the U.S. Holder’s tax basis in 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may be treated as a taxable exchange in which gain or loss would be recognized. In such event, a U.S. Holder may be deemed to have surrendered a number of warrants having an aggregate value equal to the exercise price for the total number of warrants deemed exercised. Subject to the PFIC rules discussed below, the U.S. Holder would recognize capital gain or loss in an amount equal to the difference between the aggregate value of the warrants deemed surrendered and the U.S. Holder’s tax basis in such warrants. In this case, a U.S. Holder’s tax basis in the Class A ordinary shares received would equal the sum of the U.S. Holder’s initial investment in the warrants deemed exercised (i.e., the portion of the U.S. Holder’s purchase price for the units that is allocated to the warrant, as described above under “—Allocation of Purchase Price and Characterization of a Unit”) and the exercise price of such warrants. It is unclear whether a U.S. Holder’s holding period for the Class A ordinary share would commence on the date of exercise of the warrant or the day following the date of exercise of the warrant.</w:t>
      </w:r>
    </w:p>
    <w:p>
      <w:pPr>
        <w:spacing w:after="0" w:line="192"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spacing w:after="0" w:line="176" w:lineRule="exact"/>
        <w:rPr>
          <w:sz w:val="20"/>
          <w:szCs w:val="20"/>
          <w:color w:val="auto"/>
        </w:rPr>
      </w:pPr>
    </w:p>
    <w:p>
      <w:pPr>
        <w:ind w:left="120" w:right="200" w:firstLine="440"/>
        <w:spacing w:after="0" w:line="270" w:lineRule="auto"/>
        <w:rPr>
          <w:sz w:val="20"/>
          <w:szCs w:val="20"/>
          <w:color w:val="auto"/>
        </w:rPr>
      </w:pPr>
      <w:r>
        <w:rPr>
          <w:rFonts w:ascii="Times New Roman" w:cs="Times New Roman" w:eastAsia="Times New Roman" w:hAnsi="Times New Roman"/>
          <w:sz w:val="17"/>
          <w:szCs w:val="17"/>
          <w:color w:val="auto"/>
        </w:rPr>
        <w:t>Subject to the PFIC rules described below, if we redeem warrants for cash pursuant to the redemption provisions described in the section of this prospectus entitled “Description of Securities—Warrants—Public Shareholders’ Warrants” or if we purchase warrants in an open market transaction, such redemption or purchase generally will be treated as a taxable disposition to the U.S. Holder, taxed as described above under “—Gain or Loss on Sale, Taxable Exchange or Other Taxable Disposition of Class A Ordinary Shares and Warrants.” The tax consequences of an exercise of a warrant occurring after our giving notice of an intention to redeem the warrant for $0.01 or $.10 as described in the section of this prospectus entitled “Description of Securities—Warrants—Public Shareholders’ Warrants,” are unclear under current law. In the case of a cashless exercise, the exercise may be treated either as if we redeemed such warrant for Class A ordinary shares or as an exercise of the warrant. If the cashless exercise of a warrant for Class A ordinary shares is treated as a redemption, then such redemption generally should be treated as a tax-deferred recapitalization for U.S. federal income tax purposes, in which case a U.S. Holder should not recognize any gain or loss on such redemption, and accordingly, a U.S. Holder’s basis in the Class A ordinary shares received should equal the U.S. Holder’s basis in the warrant and the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00"/>
          </w:cols>
          <w:pgMar w:left="320" w:top="455" w:right="4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holding period of the Class A ordinary shares would include the holding period of the warrant. If the cashless exercise of a warrant is treated as such, the tax consequences generally should be similar to those described in the previous paragraphs. In the case of an exercise of a warrant for cash, the tax treatment generally should be as described above in the first paragraph under the heading “U.S. Holders—Exercise, Lapse or Redemption of a Warrant.” Due to the lack of clarity under current law regarding the treatment of an exercise of a warrant after our giving notice of an intention to redeem the warrant, there can be no assurance as to which, if any, of the alternative tax consequences described above would be adopted by the IRS or a court of law. Accordingly, U.S. Holders should consult their tax advisors regarding the tax consequences of the exercise of a warrant occurring after our giving notice of an intention to redeem the warrant as described above.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11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Securities—Warrants—Public Shareholders’ Warrants.” An adjustment which has the effect of preventing dilution generally is not taxable. The U.S. Holders of the warrants would, however, be treated as receiving a constructive distribution from us if, for example, the adjustment increases the warrant holders’ proportionate interest in our assets or earnings and profits (e.g., through an increase in the number of Class A ordinary shares that would be obtained upon exercise or through a decrease to the exercise price, including, for example, the decrease to the exercise price of the warrants where additional Class A ordinary shares or equity-linked securities are issued in connection with the closing of our initial business combination at an issue price or effective issue price of less than $9.20 per ordinary share, as described under “Description of Securities—Warrants—Public Shareholders’ Warrants—Anti-Dilution Adjustments”) as a result of a distribution of cash or other property to the holders of our Class A ordinary shares which is taxable to the U.S. Holders of such Class A ordinary shares as described under “—Taxation of Distributions” above. Such constructive distribution would be subject to tax as described under that section in the same manner as if the U.S. Holders of the warrants received a cash distribution from us equal to the fair market value of such increased interest. Generally, a U.S. Holder’s adjusted tax basis in its warrant would be increased to the extent any such constructive distribution is treated as a dividend.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8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(i) no predecessor of the corporation was a PFIC; (ii) the corporation satisfies the IRS that it will not be a PFIC for either of the two taxable years following the start-up year; and (iii) the corporation is not in fact a PFIC for either of those years. The applicability of the start-up exception to us is uncertain and will not be known until after the close of our current taxable year (or possibly not until after the close of the first two taxable years following our start-up year, as described under the start-up exception).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qualify for the start-up exception and will be a PFIC for our current taxable year. Our actual PFIC status for our current taxable year or any subsequent taxable year, however, will not be determinable until after the end of such taxable year. Accordingly, there can be no assurance with respect to our status as a PFIC for our current taxable year or any future taxable year.</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our PFIC status is determined annually, an initial determination that our company is a PFIC will generally apply for subsequent years to a U.S. Holder who held (or is deemed to have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timely and valid qualified electing fund (“QEF”) election for our first taxable year as a PFIC in which the U.S. Holder held (or was deemed to hold) Class A ordinary shares, a QEF election along with a purging election, or a mark-to-market election, each as described below, such U.S. Holder generally will be subject to special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131" w:lineRule="exact"/>
        <w:rPr>
          <w:sz w:val="20"/>
          <w:szCs w:val="20"/>
          <w:color w:val="auto"/>
        </w:rPr>
      </w:pPr>
    </w:p>
    <w:p>
      <w:pPr>
        <w:ind w:left="108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Class A ordinary shares or warrants;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62"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In general, if we are determined to be a PFIC, a U.S. Holder may avoid the PFIC tax consequences described above in respect of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6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 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such QEF election, the adverse tax consequences relating to PFIC shares, adjusted to take into account the current income inclusions resulting from the QEF election, will continue to apply with respect to such newly acquired Class A ordinary shares (which</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00"/>
          </w:cols>
          <w:pgMar w:left="320" w:top="455"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generally will be deemed to have a holding period for purposes of the PFIC rules that includes the period the U.S. Holder held the warrants), unless the U.S. Holder makes a purging election under the PFIC rules. Under one type of purging election, the U.S. Holder will be deemed to have sold such shares at their fair market value and any gain recognized on such deemed sale will be treated as an excess distribution, as described above. As a result of such purging election, the U.S. Holder generally will have a new basis and holding period in the Class A ordinary shares acquired upon the exercise of the warrants for purposes of the PFIC rules.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or interest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taxable year.</w:t>
      </w:r>
    </w:p>
    <w:p>
      <w:pPr>
        <w:spacing w:after="0" w:line="19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88"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Securities and Exchange Commission,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including the NYSE (on which we intend to list the Class A ordinary shares),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ordinary shares ceased to qualify as “marketable stock” for purposes of the PFIC rules or the IRS consented to the revocation of the election. U.S. Holders should consult their tax advisors regarding the availability and tax consequences of a mark-to-market election with respect to our Class A ordinary shares under their particular circumstances.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market-to-market election is made) and such other information as may be required by the U.S. Treasury Department. Failure to do so, if required, will extend the statute of limitations until such required information is furnished to the IRS.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our Class A ordinary shares and warrants should consult their tax advisors concerning the application of the PFIC rules to our securities under their particular circumstances.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 Reporting</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An interest in the company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Potential investors are urged to consult their tax advisors regarding the foreign financial asset and other reporting obligations and their application to an investment in our Class A ordinary shares and warrants.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11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units, Class A ordinary shares or warrants (other than a partnership or other entity or arrangement treated as a partnership for U.S. federal income tax purposes) who or that is for U.S. federal income tax purposes:</w:t>
      </w:r>
    </w:p>
    <w:p>
      <w:pPr>
        <w:spacing w:after="0" w:line="81" w:lineRule="exact"/>
        <w:rPr>
          <w:sz w:val="20"/>
          <w:szCs w:val="20"/>
          <w:color w:val="auto"/>
        </w:rPr>
      </w:pPr>
    </w:p>
    <w:p>
      <w:pPr>
        <w:ind w:left="5480" w:right="380" w:hanging="4824"/>
        <w:spacing w:after="0" w:line="454" w:lineRule="auto"/>
        <w:tabs>
          <w:tab w:leader="none" w:pos="107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 170</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sale or other disposition of our securities.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Dividends (including constructive dividends) paid or deemed paid to a Non-U.S. Holder in respect of our Class A ordinary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 In addition, a Non-U.S. Holder generally will not be subject to U.S. federal income tax on any gain attributable to a sale or other taxable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Dividends (including constructive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 Holder that is a corporation for U.S. federal income tax purposes, also may be subject to an additional branch profits tax at a 30% rate or a lower applicable tax treaty rate.</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“—U.S. Holders—Exercise or Lapse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8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and warrants, including the tax consequences under state, local, estate, foreign and other tax laws and tax treaties and the possible effects of changes in U.S. or other tax laws.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underwriting agreement dated the date of this prospectus, we have agreed to sell to the underwriters named below the follow respective number of units: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5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189"/>
        </w:trPr>
        <w:tc>
          <w:tcPr>
            <w:tcW w:w="63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Morgan Stanley &amp; Co. LLC</w:t>
            </w:r>
          </w:p>
        </w:tc>
        <w:tc>
          <w:tcPr>
            <w:tcW w:w="108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28"/>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87,500,000</w:t>
            </w:r>
          </w:p>
        </w:tc>
        <w:tc>
          <w:tcPr>
            <w:tcW w:w="60" w:type="dxa"/>
            <w:vAlign w:val="bottom"/>
          </w:tcPr>
          <w:p>
            <w:pPr>
              <w:spacing w:after="0"/>
              <w:rPr>
                <w:sz w:val="19"/>
                <w:szCs w:val="19"/>
                <w:color w:val="auto"/>
              </w:rPr>
            </w:pPr>
          </w:p>
        </w:tc>
      </w:tr>
    </w:tbl>
    <w:p>
      <w:pPr>
        <w:spacing w:after="0" w:line="19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units included in this offering are subject to approval of legal matters by counsel and to other conditions. The underwriters are obligated to purchase all of the units (other than those covered by the over-allotment option described below) if they purchase any of the units.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Units sold by the underwriters to the public will initially be offered at the initial public offering price set forth on the cover of this prospectus. Any</w:t>
      </w:r>
    </w:p>
    <w:p>
      <w:pPr>
        <w:spacing w:after="0" w:line="27"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units sold by the underwriters to securities dealers may be sold at a discount from the initial public offering price not to exceed $ per unit. If all of the units are not sold at the initial offering price, the underwriters may change the offering price and the other selling terms. The underwriters have advised us that they do not intend to make sales to discretionary accounts. The offering of the units by the underwriters are subject to receipt and acceptance and subject to the underwriters’ rights to reject any order in whole or in part.</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underwriters sell more units than the total number set forth in the table above, we have granted to the underwriters an option, exercisable for 45 days from the date of this prospectus, to purchase up to 13,125,000 additional units at the public offering price less the underwriting discount. The underwriters may exercise this option solely for the purpose of covering over-allotments, if any, in connection with this offering. To the extent the option is exercised, the underwriters must purchase a number of additional units approximately proportionate to that underwriters’ initial purchase commitment. Any units issued or sold under the option will be issued and sold on the same terms and conditions as the other units that are the subject of this offering.</w:t>
      </w:r>
    </w:p>
    <w:p>
      <w:pPr>
        <w:spacing w:after="0" w:line="187"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our sponsor and our officers and directors have agreed that, for a period of 180 days from the date of this prospectus, we and they will not, without the prior written consent of Morgan Stanley &amp; Co. LLC offer, sell, contract to sell, pledge or otherwise dispose of, directly or indirectly, any units, warrants, ordinary shares or any other securities convertible into, or exercisable, or exchangeable for, ordinary shares, subject to certain exceptions. Morgan Stanley &amp; Co. LLC in its sole discretion may release any of the securities subject to these lock-up agreements at any time without notice, other than in the case of the officers and directors, which shall be with notice. Our sponsor, officers and directors are also subject to separate transfer restrictions on their founder shares and private placement warrants as described in the following paragraph.</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initial shareholders have agreed not to transfer, assign or sell any of their founder shares until the earlier to occur of (A) one year after the completion of our initial business combination or (B) subsequent to our initial business combination, (x) if the closing price of our Class A ordinary shares equals or exceeds $12.00 per share (as adjusted for share subdivisions, share dividends,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shareholders having the right to exchange their ordinary shares for cash, securities or other property (except with respect to permitted transferees as described herein under the section of this prospectus entitled “Principal Shareholders—Restrictions on Transfers of Founder Shares and Private Placement Warrants”). The private placement warrants (including the Class A ordinary shares issuable upon exercise of the private placement warrants) will not be transferable, assignable or saleable until 30 days after the completion of our initial business combination (except with respect to permitted transferees as described herein under the section of this prospectus entitled “Principal Shareholders—Restrictions on Transfers of Founder Shares and Private Placement Warrants”).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securities. Consequently, the initial public offering price for the units was determined by negotiations between us and the underwriters. Among the factors considered in determining initial public offering price were the history and prospects of companies whose principal business is the acquisition of other companies, prior offerings of those companies, our directors or executive officers, our capital structure, and currently prevailing general conditions in equity securities 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intend to apply to have our units listed on the NYSE under the symbol “ ” We expect that our Class A ordinary shares and warrants will be listed under the symbols “ ” and “ ,” respectively, once the Class A ordinary shares and warrants begin separate trading.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underwriting discounts and commissions that we are to pay to the underwriters in connection with this offering.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amounts are shown assuming both no exercise and full exercise of the underwriters’ over-allotment option.</w:t>
      </w:r>
    </w:p>
    <w:p>
      <w:pPr>
        <w:spacing w:after="0" w:line="22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Payable by Ares Acquisition</w:t>
      </w: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Corporation</w:t>
      </w:r>
    </w:p>
    <w:tbl>
      <w:tblPr>
        <w:tblLayout w:type="fixed"/>
        <w:tblInd w:w="1440" w:type="dxa"/>
        <w:tblCellMar>
          <w:top w:w="0" w:type="dxa"/>
          <w:left w:w="0" w:type="dxa"/>
          <w:bottom w:w="0" w:type="dxa"/>
          <w:right w:w="0" w:type="dxa"/>
        </w:tblCellMar>
      </w:tblPr>
      <w:tr>
        <w:trPr>
          <w:trHeight w:val="142"/>
        </w:trPr>
        <w:tc>
          <w:tcPr>
            <w:tcW w:w="6040" w:type="dxa"/>
            <w:vAlign w:val="bottom"/>
          </w:tcPr>
          <w:p>
            <w:pPr>
              <w:spacing w:after="0"/>
              <w:rPr>
                <w:sz w:val="12"/>
                <w:szCs w:val="12"/>
                <w:color w:val="auto"/>
              </w:rPr>
            </w:pPr>
          </w:p>
        </w:tc>
        <w:tc>
          <w:tcPr>
            <w:tcW w:w="14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8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Full Exercise</w:t>
            </w:r>
          </w:p>
        </w:tc>
        <w:tc>
          <w:tcPr>
            <w:tcW w:w="40" w:type="dxa"/>
            <w:vAlign w:val="bottom"/>
          </w:tcPr>
          <w:p>
            <w:pPr>
              <w:spacing w:after="0"/>
              <w:rPr>
                <w:sz w:val="12"/>
                <w:szCs w:val="12"/>
                <w:color w:val="auto"/>
              </w:rPr>
            </w:pP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Unit</w:t>
            </w:r>
            <w:r>
              <w:rPr>
                <w:rFonts w:ascii="Times New Roman" w:cs="Times New Roman" w:eastAsia="Times New Roman" w:hAnsi="Times New Roman"/>
                <w:sz w:val="15"/>
                <w:szCs w:val="15"/>
                <w:color w:val="auto"/>
              </w:rPr>
              <w:t>(1)</w:t>
            </w: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15"/>
                <w:szCs w:val="15"/>
                <w:color w:val="auto"/>
              </w:rPr>
              <w:t>(1)</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40" w:hanging="424"/>
        <w:spacing w:after="0" w:line="261"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$0.35 per unit, or $30,625,000 (or $35,218,750 if the over-allotment option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Class A ordinary shares sold as part of the units in this offering, as described in this prospectus.</w:t>
      </w:r>
    </w:p>
    <w:p>
      <w:pPr>
        <w:spacing w:after="0" w:line="180"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If we do not complete our initial business combination and subsequently liquidate, the trustee and the underwriters have agreed that (i) they will forfeit any rights or claims to their deferred underwriting discounts and commissions, including any accrued interest thereon, then in the trust account upon liquidation, and (ii) that the deferred discounts and commissions will be distributed on a pro rata basis, including interest earned on the funds held in the trust account and not previously released to us to pay our franchise and income taxes (less up to $100,000 of interest to pay dissolution expenses).</w:t>
      </w:r>
    </w:p>
    <w:p>
      <w:pPr>
        <w:spacing w:after="0" w:line="16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units in the open market. Purchases and sales in the open market may include short sales, purchases to cover short positions, which may include purchases pursuant to the over-allotment option and stabilizing purchases, in accordance with Regulation M under the Exchange Act.</w:t>
      </w:r>
    </w:p>
    <w:p>
      <w:pPr>
        <w:spacing w:after="0" w:line="81" w:lineRule="exact"/>
        <w:rPr>
          <w:sz w:val="20"/>
          <w:szCs w:val="20"/>
          <w:color w:val="auto"/>
        </w:rPr>
      </w:pPr>
    </w:p>
    <w:p>
      <w:pPr>
        <w:ind w:left="1080" w:right="54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units than they are required to purchase in the offering.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short sales are sales of units in an amount up to the number of units represented by the underwriters’ over-allotment option.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“Naked” short sales are sales of units in an amount in excess of the number of units represented by the underwriters’ over-allotment option.</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units either pursuant to the over-allotment option or in the open market after the distribution has been completed to cover short positions.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a naked short position, the underwriters must purchase units in the open market after the distribution has been completed. A naked short position is more likely to be created if the underwriters are concerned that there may be downward pressure on the price of the units in the open market after pricing that could adversely affect investors who purchase in the offering.</w:t>
      </w:r>
    </w:p>
    <w:p>
      <w:pPr>
        <w:spacing w:after="0" w:line="81" w:lineRule="exact"/>
        <w:rPr>
          <w:rFonts w:ascii="Times New Roman" w:cs="Times New Roman" w:eastAsia="Times New Roman" w:hAnsi="Times New Roman"/>
          <w:sz w:val="18"/>
          <w:szCs w:val="18"/>
          <w:color w:val="auto"/>
        </w:rPr>
      </w:pPr>
    </w:p>
    <w:p>
      <w:pPr>
        <w:ind w:left="1080" w:right="360" w:hanging="424"/>
        <w:spacing w:after="0" w:line="261"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a covered short position, the underwriters must purchase units in the open market after the distribution has been completed or must exercise the over-allotment option. In determining the source of units to close the covered short position, the underwriters will consider, among other things, the price of units available for purchase in the open market as compared to the price at which they may purchase units through the over-allotment option.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units so long as the stabilizing bids do not exceed a specified maximum.</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units. They may also cause the price of the units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0" w:lineRule="exact"/>
        <w:rPr>
          <w:sz w:val="20"/>
          <w:szCs w:val="20"/>
          <w:color w:val="auto"/>
        </w:rPr>
      </w:pPr>
    </w:p>
    <w:p>
      <w:pPr>
        <w:jc w:val="both"/>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We estimate that our portion of the total expenses of this offering payable by us will be $3,000,000, excluding underwriting discounts and commissions. We have agreed to reimburse the underwriters for all expenses and fees related to the review by the Financial Industry Regulatory Authority (“FINRA”), which will not exceed $25,000.</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6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are not under any contractual obligation to engage the underwriters or one of their respective affiliates to provide any services for us after this offering, but we may do so at our discretion. However, the underwriters or one of their respective affiliates may introduce us to potential target businesses, provide financial advisory services to us in connection with a business combination or assist us in raising additional capital in the future, including by acting as a placement agent in a private offering or underwriting or arranging debt financing. If the underwriters or their respective affiliates provides services to us after this offering, we may pay such underwriter or its affiliate fair and reasonable fees or other compensation that would be determined at that time in an arm’s length negotiation; provided that no agreement will be entered into with the underwriters and their respective affiliates no fees or other compensation for such services will be paid to the underwriters or their respective affiliates prior to the date that is 60 days from the date of this prospectus, unless such payment would not be deemed underwriting compensation in connection with this offering. Any fees we may pay the underwriters or their affiliates for services rendered to us after this offering may be contingent on the completion of a business combination and may include non-cash compensation. The underwriters or their affiliates that provide these services to us may have a potential conflict of interest given that the underwriters are entitled to the deferred portion of their underwriting compensation for this offering only if an initial business combination is completed within the specified time frame.</w:t>
      </w:r>
    </w:p>
    <w:p>
      <w:pPr>
        <w:spacing w:after="0" w:line="19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Neither the underwriters nor their affiliates are under any obligation to provide us services in the future, including with respect to our initial business combination. The underwriters or their affiliates engage in advisory, underwriting, lending and financing, principal investing, sales and trading, research and investment management activities with a variety of clients and counterparties, corporate, governmental, institutional and individual. Consequently, at the time of our initial business combination the underwriters may advise or provide financing or other services to the target business, the sellers of the target business or other entities competing with us to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acquire the target business. In addition, the underwriters or their affiliates may compete with us in trying acquire a target business or have interests in the target business we acquire.</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and their affiliates have engaged in, and may in the future engage in, investment banking and other commercial dealings in the ordinary course of business with us or our affiliates, including as lenders or agents under financings. They have received, or may in the future receive, customary fees and commissions for these transactions.</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or instruments of ours or our affiliates. The underwriters and their affiliates may also make investment recommendations or publish or express independent research views in respect of such securities or financial instruments and may hold, or recommend to clients that they acquire, long or short positions in such securities and instruments.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units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units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CAYMAN ISLANDS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offer or invitation, whether directly or indirectly, may be made to the public in the Cayman Islands to subscribe for our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offer of shares may be made to the public in that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 State other than:</w:t>
      </w:r>
    </w:p>
    <w:p>
      <w:pPr>
        <w:spacing w:after="0" w:line="112"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Directive), subject to obtaining the prior consent of the underwriters;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our representatives to publish a prospectus pursuant to Article 3 of the Prospectus Regulation or supplement a prospectus pursuant to Article 23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980"/>
        <w:spacing w:after="0" w:line="312" w:lineRule="auto"/>
        <w:rPr>
          <w:sz w:val="20"/>
          <w:szCs w:val="20"/>
          <w:color w:val="auto"/>
        </w:rPr>
      </w:pPr>
      <w:r>
        <w:rPr>
          <w:rFonts w:ascii="Times New Roman" w:cs="Times New Roman" w:eastAsia="Times New Roman" w:hAnsi="Times New Roman"/>
          <w:sz w:val="17"/>
          <w:szCs w:val="17"/>
          <w:color w:val="auto"/>
        </w:rPr>
        <w:t>Prospectus Regulation and each person who initially acquires any shares or to whom any offer is made will be deemed to have represented, acknowledged and agreed to and with the underwriters and us that it is a “qualified investor” as defined in the Prospectus Regulation.</w:t>
      </w:r>
    </w:p>
    <w:p>
      <w:pPr>
        <w:spacing w:after="0" w:line="14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underwriters has been obtained to each such proposed offer or resale.</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RESIDENTS OF HONG KONG</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RESIDENTS OF JAPAN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RESIDENTS OF SINGAPORE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Where the units are subscribed or purchased under Section 275 of the SFA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3" w:lineRule="exact"/>
        <w:rPr>
          <w:sz w:val="20"/>
          <w:szCs w:val="20"/>
          <w:color w:val="auto"/>
        </w:rPr>
      </w:pPr>
    </w:p>
    <w:p>
      <w:pPr>
        <w:jc w:val="both"/>
        <w:ind w:left="1080" w:hanging="424"/>
        <w:spacing w:after="0" w:line="258"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INVESTORS IN THE UNITED KINGDOM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underwriters severally represents, warrants and agrees as follows:</w:t>
      </w:r>
    </w:p>
    <w:p>
      <w:pPr>
        <w:spacing w:after="0" w:line="225" w:lineRule="exact"/>
        <w:rPr>
          <w:sz w:val="20"/>
          <w:szCs w:val="20"/>
          <w:color w:val="auto"/>
        </w:rPr>
      </w:pPr>
    </w:p>
    <w:p>
      <w:pPr>
        <w:ind w:left="120" w:right="40" w:firstLine="436"/>
        <w:spacing w:after="0" w:line="261" w:lineRule="auto"/>
        <w:tabs>
          <w:tab w:leader="none" w:pos="80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 Article 19(5) of the Financial Services and Markets Act 2000 (Financial Promotion) Order 2005 or in circumstances in which section 21 of FSMA does not apply to the company; and</w:t>
      </w:r>
    </w:p>
    <w:p>
      <w:pPr>
        <w:spacing w:after="0" w:line="179"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FSMA with respect to anything done by it in relation to the units in, from or otherwise involving the United Kingdom.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00"/>
          </w:cols>
          <w:pgMar w:left="320" w:top="455"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Kirkland &amp; Ellis LLP, Los Angeles, California will pass upon the validity of the securities offered in this prospectus with respect to units and warrants. Maples and Calder will pass upon the validity of the securities offered in this prospectus with respect to the ordinary shares and matters of Cayman Islands law. In connection with this offering, Ropes &amp; Gray LLP advised the underwriters in connection with the offering of the securities.</w:t>
      </w:r>
    </w:p>
    <w:p>
      <w:pPr>
        <w:spacing w:after="0" w:line="3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AAC II as of June 30, 2021 and for the period from March 15, 2021 (inception) through June 30, 2021 appearing in this prospectus have been audited by WithumSmith+Brown, PC, independent registered public accounting firm, as set forth in their report thereon, appearing elsewhere in this prospectus, and are included in reliance upon such report given on the authority of such firm as experts in accounting and auditing.</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00"/>
          </w:cols>
          <w:pgMar w:left="320" w:top="455" w:right="4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4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93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640" w:type="dxa"/>
            <w:vAlign w:val="bottom"/>
          </w:tcPr>
          <w:p>
            <w:pPr>
              <w:ind w:left="1380"/>
              <w:spacing w:after="0" w:line="194" w:lineRule="exact"/>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24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Balance Sheet as of June 30, 2021</w:t>
            </w:r>
          </w:p>
        </w:tc>
        <w:tc>
          <w:tcPr>
            <w:tcW w:w="13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ind w:left="138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3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Statement of Operations for the period from March</w:t>
            </w:r>
          </w:p>
        </w:tc>
        <w:tc>
          <w:tcPr>
            <w:tcW w:w="55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15, 2021 (inception) to June 30, 2021</w:t>
            </w:r>
          </w:p>
        </w:tc>
        <w:tc>
          <w:tcPr>
            <w:tcW w:w="1640" w:type="dxa"/>
            <w:vAlign w:val="bottom"/>
          </w:tcPr>
          <w:p>
            <w:pPr>
              <w:ind w:left="138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40" w:type="dxa"/>
            <w:vAlign w:val="bottom"/>
            <w:shd w:val="clear" w:color="auto" w:fill="0000EE"/>
          </w:tcPr>
          <w:p>
            <w:pPr>
              <w:spacing w:after="0" w:line="20" w:lineRule="exact"/>
              <w:rPr>
                <w:sz w:val="1"/>
                <w:szCs w:val="1"/>
                <w:color w:val="auto"/>
              </w:rPr>
            </w:pPr>
          </w:p>
        </w:tc>
        <w:tc>
          <w:tcPr>
            <w:tcW w:w="43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93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Statement of Changes in Shareholder’s Equity for the period from March 15, 2021 (inception) to June 30, 2021</w:t>
            </w:r>
          </w:p>
        </w:tc>
        <w:tc>
          <w:tcPr>
            <w:tcW w:w="1640" w:type="dxa"/>
            <w:vAlign w:val="bottom"/>
          </w:tcPr>
          <w:p>
            <w:pPr>
              <w:ind w:left="138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37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 of Cash Flows for the period from March</w:t>
            </w:r>
          </w:p>
        </w:tc>
        <w:tc>
          <w:tcPr>
            <w:tcW w:w="4240" w:type="dxa"/>
            <w:vAlign w:val="bottom"/>
            <w:tcBorders>
              <w:top w:val="single" w:sz="8" w:color="0000EE"/>
            </w:tcBorders>
            <w:gridSpan w:val="4"/>
          </w:tcPr>
          <w:p>
            <w:pPr>
              <w:ind w:left="60"/>
              <w:spacing w:after="0" w:line="196" w:lineRule="exact"/>
              <w:rPr>
                <w:sz w:val="20"/>
                <w:szCs w:val="20"/>
                <w:color w:val="auto"/>
              </w:rPr>
            </w:pPr>
            <w:r>
              <w:rPr>
                <w:rFonts w:ascii="Times New Roman" w:cs="Times New Roman" w:eastAsia="Times New Roman" w:hAnsi="Times New Roman"/>
                <w:sz w:val="18"/>
                <w:szCs w:val="18"/>
                <w:color w:val="0000EE"/>
              </w:rPr>
              <w:t>15, 2021 (inception) to June 30, 2021</w:t>
            </w:r>
          </w:p>
        </w:tc>
        <w:tc>
          <w:tcPr>
            <w:tcW w:w="1320" w:type="dxa"/>
            <w:vAlign w:val="bottom"/>
          </w:tcPr>
          <w:p>
            <w:pPr>
              <w:spacing w:after="0"/>
              <w:rPr>
                <w:sz w:val="17"/>
                <w:szCs w:val="17"/>
                <w:color w:val="auto"/>
              </w:rPr>
            </w:pPr>
          </w:p>
        </w:tc>
        <w:tc>
          <w:tcPr>
            <w:tcW w:w="1640" w:type="dxa"/>
            <w:vAlign w:val="bottom"/>
          </w:tcPr>
          <w:p>
            <w:pPr>
              <w:ind w:left="138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37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46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ind w:left="138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385"/>
        </w:trPr>
        <w:tc>
          <w:tcPr>
            <w:tcW w:w="21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0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F-1</w:t>
            </w:r>
          </w:p>
        </w:tc>
        <w:tc>
          <w:tcPr>
            <w:tcW w:w="16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 and the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Ares Acquisition Corporation II (the “Company”) as of June 30, 2021, and the related statements of operations, changes in shareholder’s equity and cash flows for the period from March 15, 2021 (inception) through June 30, 2021, and the related notes (collectively referred to as the “financial statements”). In our opinion, the financial statements present fairly, in all material respects, the financial position of the Company as of June 30, 2021, and the results of its operations and its cash flows for the period from March 15, 2021 (inception) through June 30, 2021,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3"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October 1, 2021</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7"/>
        </w:trPr>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3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ARES ACQUISITION CORPORATION II</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3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388,070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388,070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6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Accrued offering costs</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$202,639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172,074</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5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374,713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Preference shares, $0.0001 par value; 1,000,000 shares authorized; none issued and outstanding</w:t>
            </w: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Class A ordinary shares, $0.0001 par value; 300,000,000 shares authorized; none issued and outstanding</w:t>
            </w:r>
          </w:p>
        </w:tc>
        <w:tc>
          <w:tcPr>
            <w:tcW w:w="6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ordinary shares, $0.0001 par value; 30,000,000 shares authorized; 25,156,250 shares issued and outstanding</w:t>
            </w:r>
            <w:r>
              <w:rPr>
                <w:rFonts w:ascii="Times New Roman" w:cs="Times New Roman" w:eastAsia="Times New Roman" w:hAnsi="Times New Roman"/>
                <w:sz w:val="15"/>
                <w:szCs w:val="15"/>
                <w:color w:val="auto"/>
              </w:rPr>
              <w:t>(1)</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22,484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(11,643)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5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388,070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0" w:right="740" w:hanging="424"/>
        <w:spacing w:after="0" w:line="282"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3,281,250 Class B ordinary shares subject to forfeiture if the over-allotment option is not exercised in full or in part by the underwriters (see Note 6).</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46" w:right="4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07"/>
        </w:trPr>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7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ARES ACQUISITION CORPORATION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7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7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 THE PERIOD FROM MARCH 15, 2021 (INCEPTION) THROUGH JUNE 30,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costs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11,643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(11,643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6"/>
              </w:rPr>
              <w:t>21,875,000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0" w:right="20" w:hanging="424"/>
        <w:spacing w:after="0" w:line="282"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 aggregate of up to 3,281,250 Class B ordinary shares subject to forfeiture if the over-allotment option is not exercised in full or in part by the underwriters (see Note 6).</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46"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CHANGES IN SHAREHOLDER’S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PERIOD FROM MARCH 15, 2021 (INCEPTION) THROUGH JUNE 30, 2021</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7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380" w:type="dxa"/>
            <w:vAlign w:val="bottom"/>
            <w:vMerge w:val="restart"/>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4"/>
        </w:trPr>
        <w:tc>
          <w:tcPr>
            <w:tcW w:w="5660" w:type="dxa"/>
            <w:vAlign w:val="bottom"/>
          </w:tcPr>
          <w:p>
            <w:pPr>
              <w:spacing w:after="0"/>
              <w:rPr>
                <w:sz w:val="6"/>
                <w:szCs w:val="6"/>
                <w:color w:val="auto"/>
              </w:rPr>
            </w:pPr>
          </w:p>
        </w:tc>
        <w:tc>
          <w:tcPr>
            <w:tcW w:w="1740" w:type="dxa"/>
            <w:vAlign w:val="bottom"/>
            <w:tcBorders>
              <w:bottom w:val="single" w:sz="8" w:color="auto"/>
            </w:tcBorders>
            <w:gridSpan w:val="5"/>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50"/>
        </w:trPr>
        <w:tc>
          <w:tcPr>
            <w:tcW w:w="5660" w:type="dxa"/>
            <w:vAlign w:val="bottom"/>
          </w:tcPr>
          <w:p>
            <w:pPr>
              <w:spacing w:after="0"/>
              <w:rPr>
                <w:sz w:val="4"/>
                <w:szCs w:val="4"/>
                <w:color w:val="auto"/>
              </w:rPr>
            </w:pPr>
          </w:p>
        </w:tc>
        <w:tc>
          <w:tcPr>
            <w:tcW w:w="12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100" w:type="dxa"/>
            <w:vAlign w:val="bottom"/>
            <w:gridSpan w:val="2"/>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15, 2021 (inception)</w:t>
            </w:r>
          </w:p>
        </w:tc>
        <w:tc>
          <w:tcPr>
            <w:tcW w:w="8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ordinary shares to Sponsor</w:t>
            </w:r>
            <w:r>
              <w:rPr>
                <w:rFonts w:ascii="Times New Roman" w:cs="Times New Roman" w:eastAsia="Times New Roman" w:hAnsi="Times New Roman"/>
                <w:sz w:val="15"/>
                <w:szCs w:val="15"/>
                <w:color w:val="auto"/>
              </w:rPr>
              <w:t>(1)</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25,156,250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2,516</w:t>
            </w: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22,484</w:t>
            </w:r>
          </w:p>
        </w:tc>
        <w:tc>
          <w:tcPr>
            <w:tcW w:w="140" w:type="dxa"/>
            <w:vAlign w:val="bottom"/>
          </w:tcPr>
          <w:p>
            <w:pPr>
              <w:spacing w:after="0"/>
              <w:rPr>
                <w:sz w:val="18"/>
                <w:szCs w:val="18"/>
                <w:color w:val="auto"/>
              </w:rPr>
            </w:pPr>
          </w:p>
        </w:tc>
        <w:tc>
          <w:tcPr>
            <w:tcW w:w="11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(11,643)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(11,643)</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25,156,250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3"/>
              </w:rPr>
              <w:t>2,516</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22,484</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(11,643</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740" w:hanging="424"/>
        <w:spacing w:after="0" w:line="282"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3,281,250 Class B ordinary shares subject to forfeiture if the over-allotment option is not exercised in full or in part by the underwriters (see Note 6).</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07"/>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9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ARES ACQUISITION CORPORATION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9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STATEMENT OF CASH FLOWS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9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FOR THE PERIOD FROM MARCH 15, 2021 (INCEPTION) THROUGH JUNE 30,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(11,643)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Payment of formation costs through issuance of Class B ordinary shares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2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offering costs included in accrued offering costs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202,639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 paid by Sponsor through promissory note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172,074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Formation and offering costs paid by Sponsor in exchange for issuance of Class B ordinary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2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46"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Ares Acquisition Corporation II (the “Company”) was incorporated in Cayman Islands on March 15, 2021. The Company was formed for the purpose of effecting a merger, share exchange, asset acquisition, share purchase, reorganization or similar business combination with one or more businesses (the “Business Combination”).</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Company is not limited to a particular or geographic region for purposes of consummating a Business Combination. The Company is an emerging growth company and, as such, the Company is subject to all of the risks associated with emerging growth companies.</w:t>
      </w:r>
    </w:p>
    <w:p>
      <w:pPr>
        <w:spacing w:after="0" w:line="16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As of June 30, 2021, the Company had not commenced any operations. All activity for the period from March 15, 2021 (inception) through June 30, 2021 relates to the Company’s formation and the proposed initial public offering (the “Proposed Public Offering”), which is described below. The Company will not generate any operating revenues until after the completion of its initial Business Combination, at the earliest. The Company anticipates it will generate non-operating income in the form of interest income from the proceeds derived from the Proposed Public Offering. The Company has selected December 31 as its fiscal year end.</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ability to commence operations is contingent upon obtaining adequate financial resources through a Proposed Public Offering of 87,500,000 units (the “Units” and, with respect to the shares Class A ordinary shares included in the Units being offered, the “Public Shares”) at $10.00 per Unit (or 100,625,000 Units if the underwriters’ over-allotment option is exercised in full), which is discussed in Note 3, and the sale of 15,000,000 warrants (the “Private Placement Warrants”) (or 16,750,000 Private Placement Warrants if the underwriters’ over-allotment option is exercised in full) at a price of $1.50 per Private Placement Warrant in a private placement to Ares Acquisition Holdings II LP, a Cayman Island limited partnership (the “Sponsor”), that will close simultaneously with the Proposed Public Offering, which is discussed in Note 4.</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Public Offering and the sale of the Private Placement Warrants, although substantially all of the net proceeds are intended to be applied generally toward consummating a Business Combination. The Company’s initial Business Combination must be with one or more target businesses that together have a fair market value of at least 80% of the assets held in the Trust Account (as defined below) (excluding the deferred underwriting fees and taxes payable on the income earned on the Trust Account) at the time of the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 Upon the closing of the Proposed Public Offering, management has agreed that an amount equal to at least $10.00 per Unit sold in the Proposed Public Offering, including a portion of the proceeds from the sale of the Private Placement Warrants, will be held in a trust account (“Trust Account”), located in the United States and invested in U.S. government securities, within the meaning set forth in Section 2(a)(16) of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and (ii) the distribution of the Trust Account, as described below.</w:t>
      </w:r>
    </w:p>
    <w:p>
      <w:pPr>
        <w:spacing w:after="0" w:line="19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will provide its holders of the outstanding Public Shares (the “public shareholders”) with the opportunity to redeem all or a portion of their Class A ordinary shares upon the consummation of a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convert their Public Shares for a pro rata portion of the amount then in the Trust Account (initially $10.00 per Public Share, plus any pro rata interest earned on the funds held in the Trust Account and not previously released to the Company to pay its tax obligations). There will be no redemption rights upon the completion of a Business Combination with respect to the Company’s warrants. The Public Shares subject to redemption will be recorded at a redemption value and classified as temporary equity upon the completion of the Proposed Public Offering in accordance with the Financial Accounting Standards Board’s (“FASB”) Accounting Standards Codification (“ASC”) Topic 480 “Distinguishing Liabilities from Equity.”</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either immediately prior to or upon consummation of a Business Combination and, if the Company seeks shareholder approval, only if we obtain the approval of an ordinary resolution under Cayman Islands law, which requires the affirmative vote of shareholders holding a majority of ordinary shares who attend and vote at a shareholder meeting. If a shareholder vote is not required by law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If the Company seeks shareholder approval in connection with a Business Combination, the Company’s Sponsor, officers and directors (the “initial shareholder”) have agreed (i) to vote their Founder Shares (as defined in Note 4) and any Public Shares acquired in or after the Proposed Public Offering in favor of a Business Combination, and (ii) not to convert any shares owned by them in connection therewith. Additionally, each public shareholder may elect to convert their Public Shares irrespective of whether they vote for or against the proposed transaction.</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seeks shareholder approval of a Business Combination and it does not conduct conversion pursuant to the tender offer rules, the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converting its shares with respect to more than an aggregate of 15% or more of the Public Shares, without the prior consent of the Company.</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initial shareholders have agreed (i) to waive their redemption rights with respect to their Founder Shares and Public Shares held by them in connection with the completion of a Business Combination and (ii) not to propose an amendment to (a) modify the substance or timing of the Company’s obligation to provide for the redemption of its Public Shares in connection with a Business Combination or to redeem 100% of the Company’s Public Shares if the Company does not complete a Business Combination by the Combination Period (as defined below) or (b) with respect to any other material provisions relating to shareholders’ rights or pre-initial Business Combination activity, unless the Company provides the public shareholders with the opportunity to redeem their Public Shares in conjunction with any such amendment.</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will have until 24 months from the closing of the Proposed Public Offering to complete a Business Combination (the “Combination Period”). If the Company is unable to complete a Business Combination within the Combination Period, the Company will (i) cease all operations except for the purpose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winding up, (ii) as promptly as reasonably possible but not more than ten business days thereafter, redeem 100% of the outstanding Public Shares for a pro rata portion of the funds held in the Trust Account including interest earned on the funds held in the Trust Account and not previously released to the Company to pay its taxes (less $100,000 of interest to pay dissolution expenses),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the Company’s remaining shareholders and the Company’s board of directors, dissolve and liquidate,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92" w:lineRule="exact"/>
        <w:rPr>
          <w:sz w:val="20"/>
          <w:szCs w:val="20"/>
          <w:color w:val="auto"/>
        </w:rPr>
      </w:pPr>
    </w:p>
    <w:p>
      <w:pPr>
        <w:ind w:left="120" w:right="180" w:firstLine="440"/>
        <w:spacing w:after="0" w:line="270" w:lineRule="auto"/>
        <w:rPr>
          <w:sz w:val="20"/>
          <w:szCs w:val="20"/>
          <w:color w:val="auto"/>
        </w:rPr>
      </w:pPr>
      <w:r>
        <w:rPr>
          <w:rFonts w:ascii="Times New Roman" w:cs="Times New Roman" w:eastAsia="Times New Roman" w:hAnsi="Times New Roman"/>
          <w:sz w:val="17"/>
          <w:szCs w:val="17"/>
          <w:color w:val="auto"/>
        </w:rPr>
        <w:t>The initial shareholders have agreed to waive their liquidation rights with respect to the Founder Shares if the Company fails to complete a Business Combination within the Combination Period. However, if the Sponsor, officers and directors acquire Public Shares in or after the Proposed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commissions (see Note</w:t>
      </w:r>
    </w:p>
    <w:p>
      <w:pPr>
        <w:spacing w:after="0" w:line="3" w:lineRule="exact"/>
        <w:rPr>
          <w:sz w:val="20"/>
          <w:szCs w:val="20"/>
          <w:color w:val="auto"/>
        </w:rPr>
      </w:pPr>
    </w:p>
    <w:p>
      <w:pPr>
        <w:ind w:left="120" w:hanging="4"/>
        <w:spacing w:after="0" w:line="253" w:lineRule="auto"/>
        <w:tabs>
          <w:tab w:leader="none" w:pos="3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amounts in the Trust Account to below (i) $10.00 per Public Share or (ii) such lesser amount per Public Share held in the Trust Account as of the date of the liquidation of the Trust Account due to reductions in the value of the trust assets, in each case net of the interest which may be withdrawn to pay taxes. This liability will not apply with respect to any claims by a third party who executed a waiver of any and all rights to seek access to the Trust Account and except as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material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4" w:lineRule="exact"/>
        <w:rPr>
          <w:sz w:val="20"/>
          <w:szCs w:val="20"/>
          <w:color w:val="auto"/>
        </w:rPr>
      </w:pPr>
    </w:p>
    <w:p>
      <w:pPr>
        <w:ind w:left="120" w:right="7440" w:hanging="4"/>
        <w:spacing w:after="0" w:line="378" w:lineRule="auto"/>
        <w:tabs>
          <w:tab w:leader="none" w:pos="30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Presentation</w:t>
      </w: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does not have sufficient liquidity to meet its anticipated obligations over the next year from the date of issuance of these financial statements. In connection with the Company’s assessment of going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concern considerations in accordance with Accounting Standards Update (“ASU”) 2014-15,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date of issuance of these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820, “Fair Value Measurements and Disclosures,” approximates the carrying amounts represented in the balance sheet, primarily due to their short-term nature.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will account for the 17,500,000 warrants (or 20,125,000 warrants if the underwriters’ overallotment option is exercised in full) and 15,000,000 Private Placement Warrants (or 16,750,000 if the underwriters’ overallotment option is exercised in full) issued in connection with the Proposed Public Offering and Private Placement in accordance with the guidance contained in FASB ASC 815 “Derivatives and Hedging” whereby under that provision the warrants do not meet the criteria for equity treatment and must be recorded as a liability. Accordingly, the Company will classify the warrant instrument as a liability at fair value and adjust the instrument to fair value at each reporting period. This liability will be re-measured at each balance sheet date until the warrants are exercised or expire, and any change in fair value will be recognized in the Company’s statement of operations. The fair value of warrants will be estimated using a valuation model that will utilize inputs such as assumed share prices, volatility, discount factors and other assumptions and may not be reflective of the price at which they can be settled. Such warrant classification is also subject to re-evaluation at each reporting period. No warrants are currently outstanding.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Deferred offering costs consist of legal, accounting, underwriting fees and other costs incurred through the balance sheet date that are directly related to the Proposed Public Offering. Upon completion of the Proposed Public Offering, offering costs will be allocated to the separable financial instruments issued in the Proposed Public Offering based on a relative fair value basis, compared to total proceeds received. Offering costs associated with derivative warrant liabilities will be charged to operations. Offering costs associated with the Class A ordinary shares will be charged to shareholders’ equity upon the completion of the Initial Public Offering. Should the Proposed Public Offering prove to be unsuccessful, these deferred costs, as well as additional expenses to be incurred, will be charged to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has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June 30, 2021. The Company is currently not aware of any issues under review that could result in significant payments, accruals or material deviation from its position.</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income tax regulations, income taxes are not levied on the Company. Consequently, income taxes are not reflected in the Company’s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share is computed by dividing net loss by the weighted average number of ordinary shares outstanding during the period, excluding ordinary shares subject to forfeiture. Weighted average shares at June 30, 2021 were reduced for the effect of an aggregate of 3,281,250 Class B ordinary shares that are subject to forfeiture if the over-allotment option is not exercised, in full or in part, by the underwriters (see Note 6). At June 30, 2021,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60"/>
          </w:cols>
          <w:pgMar w:left="320" w:top="455" w:right="5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pronouncements, if currently adopted, would have a material effect on the Company’s financial statements.</w:t>
      </w:r>
    </w:p>
    <w:p>
      <w:pPr>
        <w:spacing w:after="0" w:line="266" w:lineRule="exact"/>
        <w:rPr>
          <w:sz w:val="20"/>
          <w:szCs w:val="20"/>
          <w:color w:val="auto"/>
        </w:rPr>
      </w:pPr>
    </w:p>
    <w:p>
      <w:pPr>
        <w:ind w:left="120" w:right="8100" w:hanging="4"/>
        <w:spacing w:after="0" w:line="377" w:lineRule="auto"/>
        <w:tabs>
          <w:tab w:leader="none" w:pos="30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PROPOSED PUBLIC OFFERING Public Units</w:t>
      </w:r>
    </w:p>
    <w:p>
      <w:pPr>
        <w:spacing w:after="0" w:line="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Pursuant to the Proposed Public Offering, the Company intends to offer for sale 87,500,000 Units (or 100,625,000 Units if the underwriters’ over-allotment option is exercised in full) at a purchase price of $10.00 per Unit. Each Unit consists of one Class A ordinary share and one-fifth of one redeemable warrant (“Public Warrant”). Each whole Public Warrant entitles the holder to purchase one Class A ordinary share at a price of $11.50 per share, subject to adjustment (see Note 6).</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shares will be issued upon exercise of the Public Warrants. The Public Warrants will become exercisable on the later of (i) 30 days after the completion of a Business Combination or (ii) 12 months from the closing of the Proposed Public Offering. The Public Warrants will expire five years after the completion of a Business Combination or earlier upon redemption or liquidation.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Class A ordinary shares upon exercise of a warrant unless the Class A ordinary shares issuable upon such warrant exercise has been registered, qualified or deemed to be exempt under the securities laws of the state of residence of the registered holder of the warrants.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20 business days, after the closing of a Business Combination, the Company will use its best efforts to file with the SEC a registration statement for the registration, under the Securities Act, of the Class A ordinary shares issuable upon exercise of the warrants. The Company will use its best efforts to cause the same to become effective within 60 days after such closing, and to maintain the effectiveness of such registration statement, and a current prospectus relating thereto, until the expiration of the warrants in accordance with the provisions of the warrant agreement. Notwithstanding the above, if the Class A ordinary shares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be required to use its best efforts to register or qualify the shares under applicable blue sky laws to the extent an exemption is not available.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Public Warrants:</w:t>
      </w:r>
    </w:p>
    <w:p>
      <w:pPr>
        <w:spacing w:after="0" w:line="131" w:lineRule="exact"/>
        <w:rPr>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and</w:t>
      </w:r>
    </w:p>
    <w:p>
      <w:pPr>
        <w:spacing w:after="0" w:line="130"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Company’s Class A ordinary shares equals or exceeds $18.00 per share for any 20 trading days within a 30-trading day period ending three business days prior to the date on which the Company sends the notice of redemption to the warrant holders.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if (i)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its affiliates, prior to such issuance) (the “Newly Issued Price”), (ii) the aggregate gross proceeds from such issuances represent more than 60% of the total equity proceeds, and interest thereon, available for the funding of a Business Combination on the date of the consummation of a Business Combination (net of redemptions), and (iii)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194"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The Private Placement Warrants (Note 4) will be identical to the Public Warrants underlying the Units being sold in the Proposed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warrants may be adjusted in certain circumstances including in the event of a share dividend, or recapitalization, reorganization, merger or consolidation. However, the warrants will not be adjusted for issuance of ordinary shares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96" w:lineRule="exact"/>
        <w:rPr>
          <w:sz w:val="20"/>
          <w:szCs w:val="20"/>
          <w:color w:val="auto"/>
        </w:rPr>
      </w:pPr>
    </w:p>
    <w:p>
      <w:pPr>
        <w:ind w:left="120" w:right="7840" w:hanging="4"/>
        <w:spacing w:after="0" w:line="378" w:lineRule="auto"/>
        <w:tabs>
          <w:tab w:leader="none" w:pos="30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Founder Shares</w:t>
      </w: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March 19, 2021, the Company issued 25,156,250 shares of Class B ordinary shares to the Sponsor (the “Founder Shares”) in exchange for a capital contribution of $25,000. The Sponsor has agreed to forfeit up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3,281,250 Founder Shares to the extent that the underwriters’ over-allotment option is not exercised in full so that the Founder Shares will represent, on an as-converted basis, 20% of the Company’s issued and outstanding shares after the Proposed Public Offering (assuming the initial shareholders do not purchase any Public Shares in the Proposed Public Offering). If the Company increases or decreases the size of the offering, the Company will effect a share capitalization or a share redemption or other appropriate mechanism, as applicable, immediately prior to the consummation of the Proposed Public Offering in such amount as to maintain the Founder Share ownership of the Company’s shareholders prior to the Proposed Public Offering at 20% of the Company’s issued and outstanding ordinary shares upon the consummation of the Proposed Public Offering. The Founder Shares will automatically convert into Class A ordinary shares upon consummation of a Business Combination on a one-for-one basis, subject to certain adjustments, as described in Note 6.</w:t>
      </w:r>
    </w:p>
    <w:p>
      <w:pPr>
        <w:spacing w:after="0" w:line="192"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The initial shareholders have agreed not to transfer, assign or sell any of the Founder Shares (except to certain permitted transferees) until the earlier of (i) one year after the date of the consummation of a Business Combination, or (ii) subsequent to the consummation of a Business Combination,</w:t>
      </w:r>
    </w:p>
    <w:p>
      <w:pPr>
        <w:spacing w:after="0" w:line="1" w:lineRule="exact"/>
        <w:rPr>
          <w:sz w:val="20"/>
          <w:szCs w:val="20"/>
          <w:color w:val="auto"/>
        </w:rPr>
      </w:pPr>
    </w:p>
    <w:p>
      <w:pPr>
        <w:ind w:left="120" w:right="100" w:hanging="4"/>
        <w:spacing w:after="0" w:line="253" w:lineRule="auto"/>
        <w:tabs>
          <w:tab w:leader="none" w:pos="36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the Company’s Class A ordinary shares equals or exceeds $12.00 per share (as adjusted for share subdivisions, share capitalizations, reorganizations, recapitalizations and the like) for any 20 trading days within any 30-trading day period commencing at least 150 days after the Business Combination, or (b) subsequent to a Business Combination, the date on which the Company completes a liquidation, merger, share exchange or other similar transaction which results in all of the Company’s shareholders having the right to exchange their ordinary shares for cash, securities or other property.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On March 19, 2021, the Company issued a promissory note to the Sponsor, pursuant to which the Sponsor agreed to loan the Company up to an aggregate of $300,000 to be used for the payment of costs related to the Proposed Public Offering (the “Promissory Note”). The Promissory Note is non-interest bearing, unsecured and due on the earlier of December 31, 2021 or the completion of the Proposed Public Offering. As of June 30, 2021, $172,074 are outstanding under the Promissory Note.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Sponsor has agreed to purchase an aggregate of 15,000,000 Private Placement Warrants (or 16,750,000 Private Placement Warrants if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over-allotment option is exercised in full) at a price of $1.50 per Private Placement Warrant, for an aggregate purchase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$22,500,000 (or $25,125,000 if the underwriters’ over-allotment option is exercised in full), in a private placement that will occur simultaneously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closing of the Proposed Public Offering. Each Private Placement Warrant is exercisable to purchase one Class A ordinary share at a price of $11.50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A portion of the proceeds from the Private Placement Warrants will be added to the proceeds from the Proposed Public Offering to be held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Trust Account. If the Company does not complete a Business Combination within the Combination Period, the proceeds of the sale of the Private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Placement Warrants will be used to fund the redemption of the Public Shares (subject to the requirements of applicable law), and the Private Placement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Warrants will expire worthless.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Working Capital Loans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directors and officers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$2,000,000 of such Working Capital Loans may be convertible into warrants of the post-Business Combination entity at a price of $1.50 per warrant. The warrants would be identical to the Private Placement Warrants. At June 30, 2021, no Working Capital Loans were outstanding.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Administrative Service Fee</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has agreed, commencing on the date of the prospectus, to pay an affiliate of the sponsor, a monthly fee of $16,667 for general and administrative services including office space, utilities and secretarial support. This arrangement will terminate upon completion of a Business Combination or the distribution of the trust account to the public shareholders.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our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our sponsor, officers or directors, or the Company’s or their affiliates. Any such payments prior to an initial Business Combination will be made from funds held outside the Trust Account.</w:t>
      </w:r>
    </w:p>
    <w:p>
      <w:pPr>
        <w:spacing w:after="0" w:line="284" w:lineRule="exact"/>
        <w:rPr>
          <w:sz w:val="20"/>
          <w:szCs w:val="20"/>
          <w:color w:val="auto"/>
        </w:rPr>
      </w:pPr>
    </w:p>
    <w:p>
      <w:pPr>
        <w:ind w:left="120" w:right="7380" w:hanging="4"/>
        <w:spacing w:after="0" w:line="377" w:lineRule="auto"/>
        <w:tabs>
          <w:tab w:leader="none" w:pos="30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Registration Rights</w:t>
      </w:r>
    </w:p>
    <w:p>
      <w:pPr>
        <w:spacing w:after="0" w:line="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the Class A ordinary shares underlying such Private Placement Warrants) and Private Placement Warrants that may be issued upon conversion of Working Capital Loans will have registration rights to require the Company to register a sale of any of its securities held by them pursuant to a registration rights agreement to be signed prior to or on the effective date of Proposed Public Offering. The holders of these securities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subject to certain limitations. The Company will bear the expenses incurred in connection with the filing of any such registration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Proposed Public Offering to purchase up to 13,125,000 additional Units to cover over-allotments, if any, at the Proposed Public Offering price less the underwriting discounts and commissions.</w:t>
      </w:r>
    </w:p>
    <w:p>
      <w:pPr>
        <w:spacing w:after="0" w:line="162"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The underwriters will be entitled to a cash underwriting discount of $0.20 per Unit, or $17,500,000 in the aggregate (or $20,125,000 in the aggregate if the underwriters’ option to purchase additional Units is exercised in full), payable upon the closing of the Proposed Public Offering. In addition, the underwriters will be entitled to a deferred fee of $0.35 per Unit, or $30,625,000 in the aggregate (or $35,218,750 in the aggregate if the underwriters’ option to purchase additional Units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and has concluded that while it is reasonable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SHAREHOLDER’S EQUITY</w:t>
      </w:r>
    </w:p>
    <w:p>
      <w:pPr>
        <w:spacing w:after="0" w:line="117" w:lineRule="exact"/>
        <w:rPr>
          <w:sz w:val="20"/>
          <w:szCs w:val="20"/>
          <w:color w:val="auto"/>
        </w:rPr>
      </w:pPr>
    </w:p>
    <w:p>
      <w:pPr>
        <w:ind w:left="120" w:right="4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Preference Shares </w:t>
      </w:r>
      <w:r>
        <w:rPr>
          <w:rFonts w:ascii="Times New Roman" w:cs="Times New Roman" w:eastAsia="Times New Roman" w:hAnsi="Times New Roman"/>
          <w:sz w:val="18"/>
          <w:szCs w:val="18"/>
          <w:color w:val="auto"/>
        </w:rPr>
        <w:t>— The Company is authorized to issue 1,000,000 preference shares with a par value of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 rights and preferences as may be determined from time to time by the Company’s Board of Directors. At June 30, 2021, there were no preference shares issued or outstanding.</w:t>
      </w:r>
    </w:p>
    <w:p>
      <w:pPr>
        <w:spacing w:after="0" w:line="171" w:lineRule="exact"/>
        <w:rPr>
          <w:sz w:val="20"/>
          <w:szCs w:val="20"/>
          <w:color w:val="auto"/>
        </w:rPr>
      </w:pPr>
    </w:p>
    <w:p>
      <w:pPr>
        <w:ind w:left="120" w:right="4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w:t>
      </w:r>
      <w:r>
        <w:rPr>
          <w:rFonts w:ascii="Times New Roman" w:cs="Times New Roman" w:eastAsia="Times New Roman" w:hAnsi="Times New Roman"/>
          <w:sz w:val="18"/>
          <w:szCs w:val="18"/>
          <w:color w:val="auto"/>
        </w:rPr>
        <w:t>— The Company is authorized to issue 300,000,000 Class A ordinary shares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Class A ordinary shares are entitled to one vote for each share. At June 30, 2021, there were no Class A ordinary shares issued or outstanding.</w:t>
      </w:r>
    </w:p>
    <w:p>
      <w:pPr>
        <w:spacing w:after="0" w:line="171"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w:t>
      </w:r>
      <w:r>
        <w:rPr>
          <w:rFonts w:ascii="Times New Roman" w:cs="Times New Roman" w:eastAsia="Times New Roman" w:hAnsi="Times New Roman"/>
          <w:sz w:val="18"/>
          <w:szCs w:val="18"/>
          <w:color w:val="auto"/>
        </w:rPr>
        <w:t>— The Company is authorized to issue 30,000,000 Class B ordinary shares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the Company’s Class B ordinary shares are entitled to one vote for each common share. At June 30, 2021, there were 25,156,250 Class B ordinary shares issued and outstanding, of which 3,281,250 shares are subject to forfeiture to the extent that the underwriters’ over-allotment option is not exercised in full so that the Founder Shares will represent, on an as-converted basis, 20% of the Company’s issued and outstanding shares after the Proposed Public Offering (assuming the initial shareholders do not purchase any Public Shares in the Proposed Public Offering).</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of Class B ordinary shares will vote on the election of directors prior to the consummation of a Business Combination. Holders of Class A ordinary shares and Class B ordinary shares will vote together as a single class on all other matters submitted to a vote of shareholders except as required by law.</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a Business Combination on a one-for-one basis, subject to adjustment. In the case that additional Class A ordinary shares or equity-linked securities are issued or deemed issued in excess of the amounts offered in the Proposed Public Offering and related to the closing of a Business Combination, the ratio at which Class B ordinary shares shall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on an as-converted basis, 20% of the sum of the total number of all ordinary shares outstanding upon completion of the Proposed Public offering plus all Class A ordinary shares and equity-linked securities issued or deemed issued in connection with a Business Combination (excluding any shares or equity-linked securities issued, or to be issued, to any seller in a Business Combination and any private placement-equivalent warrants issued to the Sponsor or its affiliates upon conversion of loans made to the Company).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SUBSEQUENT EVENTS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October 1, 2021, the date that the financial statements were available to be issued. The Company did not identify any subsequent events that would have required adjustment or disclosure in the financial statements.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April 12, 2021, the SEC issued a statement with respect to the accounting for warrants issued by special purchase acquisition companies. In light of the SEC Staff’s Statement, the Company has determined that the fair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value of the warrants should be classified as a warrant liability on the Company’s balance sheet as of the closing of the Proposed Public Offering that will be filed on Form 8-K. Subsequent changes to the fair value of the warrants will be recorded in the Company’s statement of operations.</w:t>
      </w:r>
    </w:p>
    <w:p>
      <w:pPr>
        <w:spacing w:after="0" w:line="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0860"/>
          </w:cols>
          <w:pgMar w:left="320" w:top="455" w:right="7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87,500,000 Units</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Ares Acquisition Corporation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2324735</wp:posOffset>
            </wp:positionV>
            <wp:extent cx="1474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Until , 2021 (25 days after the date of this prospectus), all dealers that buy, sell or trade our Class A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372110</wp:posOffset>
            </wp:positionV>
            <wp:extent cx="1474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Item 13. Other Expenses of Issuance and Distribution.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estimated expenses payable by us in connection with the offering described in this registration statement (other than the underwriting discount and commissions) will be as follows: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109,782</w:t>
            </w: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FINRA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151,438</w:t>
            </w:r>
          </w:p>
        </w:tc>
        <w:tc>
          <w:tcPr>
            <w:tcW w:w="4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road show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NYSE listing and filing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85,000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 &amp; Officers liability insurance premiums</w:t>
            </w:r>
            <w:r>
              <w:rPr>
                <w:rFonts w:ascii="Times New Roman" w:cs="Times New Roman" w:eastAsia="Times New Roman" w:hAnsi="Times New Roman"/>
                <w:sz w:val="15"/>
                <w:szCs w:val="15"/>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1,648,780</w:t>
            </w:r>
          </w:p>
        </w:tc>
        <w:tc>
          <w:tcPr>
            <w:tcW w:w="4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line="282"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approximate amount of annualized director and officer liability insurance premiums we anticipate paying following the completion of this offering and until we complete a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Item 14. Indemnification of Directors and Officers.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Item 15. Recent Sales of Unregistered Securities.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March 19, 2021, our sponsor paid $25,000 to cover certain of our offering costs in consideration of 25,156,250 Class B ordinary shares, par value $0.0001. Up to 3,281,250 founder shares are subject to forfeiture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depending on the extent to which the underwriters’ over-allotment option is exercised. Such securities were issued in connection with our organization pursuant to the exemption from registration contained in Section 4(a)(2) of the Securities Act. If we increase or decrease the size of this offering, we will effect a share capitalization or a share repurchase or redemption or other appropriate mechanism, as applicable, with respect to our Class B ordinary shares prior to the consummation of this offering in such amount as to maintain the number of founder shares at 20% of the total number of Class A ordinary shares and Class B ordinary shares outstanding at such time (assuming the underwriters exercise their option to purchase additional units in full).</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sponsor is an accredited investor for purposes of Rule 501 of Regulation D. Each of the equity holders in our sponsor is an accredited investor under Rule 501 of Regulation D. The sole business of our sponsor is to act as the company’s sponsor in connection with this offering.</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sponsor has committed, pursuant to a written agreement, to purchase an aggregate of 15,000,000 private placement warrants (or 16,750,000 private placement warrants if the underwriters’ over-allotment option is exercised in full), each exercisable to purchase one Class A ordinary share at $11.50 per share, at a price of $1.50 per warrant ($22,500,000 in the aggregate or $25,125,000 if the underwriters’ over-allotment option is exercised in full), in a private placement that will close simultaneously with the closing of this offering. These issuances will be made pursuant to the exemption from registration contained in Section 4(a)(2) of the Securities Act.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Item 16. Exhibits and Financial Statement Schedules.</w:t>
      </w:r>
    </w:p>
    <w:p>
      <w:pPr>
        <w:spacing w:after="0" w:line="135" w:lineRule="exact"/>
        <w:rPr>
          <w:sz w:val="20"/>
          <w:szCs w:val="20"/>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 Index is incorporated herein by reference.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Item 17. Undertakings.</w:t>
      </w:r>
    </w:p>
    <w:p>
      <w:pPr>
        <w:spacing w:after="0" w:line="135" w:lineRule="exact"/>
        <w:rPr>
          <w:sz w:val="20"/>
          <w:szCs w:val="20"/>
          <w:color w:val="auto"/>
        </w:rPr>
      </w:pPr>
    </w:p>
    <w:p>
      <w:pPr>
        <w:ind w:left="1080" w:right="520" w:hanging="532"/>
        <w:spacing w:after="0" w:line="266"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81"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rFonts w:ascii="Times New Roman" w:cs="Times New Roman" w:eastAsia="Times New Roman" w:hAnsi="Times New Roman"/>
          <w:sz w:val="18"/>
          <w:szCs w:val="18"/>
          <w:color w:val="auto"/>
        </w:rPr>
      </w:pPr>
    </w:p>
    <w:p>
      <w:pPr>
        <w:ind w:left="1540" w:right="40" w:hanging="439"/>
        <w:spacing w:after="0" w:line="261" w:lineRule="auto"/>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5" w:lineRule="exact"/>
        <w:rPr>
          <w:rFonts w:ascii="Times New Roman" w:cs="Times New Roman" w:eastAsia="Times New Roman" w:hAnsi="Times New Roman"/>
          <w:sz w:val="18"/>
          <w:szCs w:val="18"/>
          <w:color w:val="auto"/>
        </w:rPr>
      </w:pPr>
    </w:p>
    <w:p>
      <w:pPr>
        <w:ind w:left="1540" w:right="460" w:hanging="439"/>
        <w:spacing w:after="0" w:line="266" w:lineRule="auto"/>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9940" w:type="dxa"/>
            <w:vAlign w:val="bottom"/>
            <w:gridSpan w:val="3"/>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1"/>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40" w:type="dxa"/>
            <w:vAlign w:val="bottom"/>
            <w:gridSpan w:val="3"/>
          </w:tcPr>
          <w:p>
            <w:pPr>
              <w:ind w:left="5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18"/>
        </w:trPr>
        <w:tc>
          <w:tcPr>
            <w:tcW w:w="72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1.1*</w:t>
            </w:r>
          </w:p>
        </w:tc>
        <w:tc>
          <w:tcPr>
            <w:tcW w:w="52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72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3.1*</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Memorandum and Articles of Association.</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3.2*</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Form of Amended and Restated Memorandum and Articles of Association.</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4.1*</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Specimen Unit Certificate.</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4.2*</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Specimen Class A Ordinary Share Certificate.</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4.3*</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Specimen Warrant Certificate.</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4.4*</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Form of Warrant Agreement between Continental Stock Transfer &amp; Trust Company and the Registrant.</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5.1*</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Opinion of Kirkland &amp; Ellis LLP.</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5.2*</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Opinion of Maples and Calder, Cayman Islands Legal Counsel to the Registrant.</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10.1*</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Form of Investment Management Trust Agreement between Continental Stock Transfer &amp; Trust Company and the Registrant.</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10.2*</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w w:val="99"/>
              </w:rPr>
              <w:t>Form of Registration and Shareholder Rights Agreement among the Registrant, the Sponsor and the Holders signatory thereto.</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10.3*</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Form of Private Placement Warrants Purchase Agreement between the Registrant and the Sponsor.</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10.4*</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Form of Indemnity Agreement.</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10.5*</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Form of Administrative Services Agreement between the Registrant and the Sponsor.</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10.6*</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Promissory Note, dated as of March 19, 2021, between the Registrant and the Sponsor.</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10.7*</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Securities Subscription Agreement, dated March 19, 2021, between the Registrant and the Sponsor.</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10.8*</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Form of Letter Agreement between the Registrant and the Sponsor and each director and executive officer of the Registrant.</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23.1*</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Consent of WithumSmith+Brown, PC.</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23.2*</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Consent of Kirkland &amp; Ellis LLP (included on Exhibit 5.1).</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23.3*</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Consent of Maples and Calder (included on Exhibit 5.2).</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9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bl>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15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780"/>
          </w:cols>
          <w:pgMar w:left="320" w:top="455" w:right="7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its behalf by the undersigned, thereunto duly authorized, in the city of New York, State of New York, on the   day of</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2021.</w:t>
            </w:r>
          </w:p>
        </w:tc>
      </w:tr>
    </w:tbl>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David B. Kaplan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constitutes and appoints each of David B. Kaplan and Jarrod Phillips, each acting alone, his true and lawful attorneys-in-fact and agents,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1140"/>
          </w:cols>
          <w:pgMar w:left="320" w:top="455" w:right="439" w:bottom="1440" w:gutter="0" w:footer="0" w:header="0"/>
        </w:sectPr>
      </w:pPr>
    </w:p>
    <w:p>
      <w:pPr>
        <w:spacing w:after="0" w:line="182"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6142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8"/>
          <w:szCs w:val="18"/>
          <w:color w:val="auto"/>
        </w:rPr>
        <w:t>David B.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6142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8"/>
          <w:szCs w:val="18"/>
          <w:color w:val="auto"/>
        </w:rPr>
        <w:t>Jarrod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26142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7"/>
          <w:szCs w:val="17"/>
          <w:color w:val="auto"/>
        </w:rPr>
        <w:t>Michael J Arougheti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26142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56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9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Co-Chairman</w:t>
            </w:r>
          </w:p>
        </w:tc>
        <w:tc>
          <w:tcPr>
            <w:tcW w:w="20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 2021</w:t>
            </w:r>
          </w:p>
        </w:tc>
      </w:t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20"/>
                <w:szCs w:val="20"/>
                <w:color w:val="auto"/>
              </w:rPr>
            </w:pPr>
          </w:p>
        </w:tc>
      </w:tr>
      <w:tr>
        <w:trPr>
          <w:trHeight w:val="441"/>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 2021</w:t>
            </w:r>
          </w:p>
        </w:tc>
      </w:t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20" w:type="dxa"/>
            <w:vAlign w:val="bottom"/>
          </w:tcPr>
          <w:p>
            <w:pPr>
              <w:spacing w:after="0"/>
              <w:rPr>
                <w:sz w:val="20"/>
                <w:szCs w:val="20"/>
                <w:color w:val="auto"/>
              </w:rPr>
            </w:pPr>
          </w:p>
        </w:tc>
      </w:tr>
      <w:tr>
        <w:trPr>
          <w:trHeight w:val="459"/>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Co-Chairman</w:t>
            </w:r>
          </w:p>
        </w:tc>
        <w:tc>
          <w:tcPr>
            <w:tcW w:w="20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 2021</w:t>
            </w:r>
          </w:p>
        </w:tc>
      </w:tr>
    </w:tbl>
    <w:p>
      <w:pPr>
        <w:spacing w:after="0" w:line="1" w:lineRule="exact"/>
        <w:rPr>
          <w:sz w:val="20"/>
          <w:szCs w:val="20"/>
          <w:color w:val="auto"/>
        </w:rPr>
      </w:pPr>
    </w:p>
    <w:sectPr>
      <w:pgSz w:w="11900" w:h="16838" w:orient="portrait"/>
      <w:cols w:equalWidth="0" w:num="2">
        <w:col w:w="3620" w:space="720"/>
        <w:col w:w="680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decimal"/>
      <w:start w:val="1"/>
    </w:lvl>
  </w:abstractNum>
  <w:abstractNum w:abstractNumId="1">
    <w:nsid w:val="70C6A529"/>
    <w:multiLevelType w:val="hybridMultilevel"/>
    <w:lvl w:ilvl="0">
      <w:lvlJc w:val="left"/>
      <w:lvlText w:val="\ldblquote"/>
      <w:numFmt w:val="bullet"/>
      <w:start w:val="1"/>
    </w:lvl>
  </w:abstractNum>
  <w:abstractNum w:abstractNumId="2">
    <w:nsid w:val="520EEDD1"/>
    <w:multiLevelType w:val="hybridMultilevel"/>
    <w:lvl w:ilvl="0">
      <w:lvlJc w:val="left"/>
      <w:lvlText w:val="(%1)"/>
      <w:numFmt w:val="decimal"/>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1)"/>
      <w:numFmt w:val="decimal"/>
      <w:start w:val="1"/>
    </w:lvl>
  </w:abstractNum>
  <w:abstractNum w:abstractNumId="8">
    <w:nsid w:val="39386575"/>
    <w:multiLevelType w:val="hybridMultilevel"/>
    <w:lvl w:ilvl="0">
      <w:lvlJc w:val="left"/>
      <w:lvlText w:val="(%1)"/>
      <w:numFmt w:val="decimal"/>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1)"/>
      <w:numFmt w:val="lowerLetter"/>
      <w:start w:val="25"/>
    </w:lvl>
  </w:abstractNum>
  <w:abstractNum w:abstractNumId="27">
    <w:nsid w:val="1DBABF00"/>
    <w:multiLevelType w:val="hybridMultilevel"/>
    <w:lvl w:ilvl="0">
      <w:lvlJc w:val="left"/>
      <w:lvlText w:val="(%1)"/>
      <w:numFmt w:val="lowerRoman"/>
      <w:start w:val="2"/>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1)"/>
      <w:numFmt w:val="decimal"/>
      <w:start w:val="1"/>
    </w:lvl>
  </w:abstractNum>
  <w:abstractNum w:abstractNumId="32">
    <w:nsid w:val="100F8FCA"/>
    <w:multiLevelType w:val="hybridMultilevel"/>
    <w:lvl w:ilvl="0">
      <w:lvlJc w:val="left"/>
      <w:lvlText w:val="(%1)"/>
      <w:numFmt w:val="decimal"/>
      <w:start w:val="3"/>
    </w:lvl>
  </w:abstractNum>
  <w:abstractNum w:abstractNumId="33">
    <w:nsid w:val="6590700B"/>
    <w:multiLevelType w:val="hybridMultilevel"/>
    <w:lvl w:ilvl="0">
      <w:lvlJc w:val="left"/>
      <w:lvlText w:val="(%1)"/>
      <w:numFmt w:val="decimal"/>
      <w:start w:val="1"/>
    </w:lvl>
  </w:abstractNum>
  <w:abstractNum w:abstractNumId="34">
    <w:nsid w:val="15014ACB"/>
    <w:multiLevelType w:val="hybridMultilevel"/>
    <w:lvl w:ilvl="0">
      <w:lvlJc w:val="left"/>
      <w:lvlText w:val="(%1)"/>
      <w:numFmt w:val="decimal"/>
      <w:start w:val="1"/>
    </w:lvl>
  </w:abstractNum>
  <w:abstractNum w:abstractNumId="35">
    <w:nsid w:val="5F5E7FD0"/>
    <w:multiLevelType w:val="hybridMultilevel"/>
    <w:lvl w:ilvl="0">
      <w:lvlJc w:val="left"/>
      <w:lvlText w:val="(%1)"/>
      <w:numFmt w:val="decimal"/>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1."/>
      <w:numFmt w:val="decimal"/>
      <w:start w:val="419"/>
    </w:lvl>
  </w:abstractNum>
  <w:abstractNum w:abstractNumId="50">
    <w:nsid w:val="42963E5A"/>
    <w:multiLevelType w:val="hybridMultilevel"/>
    <w:lvl w:ilvl="0">
      <w:lvlJc w:val="left"/>
      <w:lvlText w:val="(%1)"/>
      <w:numFmt w:val="upperLetter"/>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1)"/>
      <w:numFmt w:val="decimal"/>
      <w:start w:val="1"/>
    </w:lvl>
    <w:lvl w:ilvl="1">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1)"/>
      <w:numFmt w:val="decimal"/>
      <w:start w:val="1"/>
    </w:lvl>
  </w:abstractNum>
  <w:abstractNum w:abstractNumId="62">
    <w:nsid w:val="71EA1109"/>
    <w:multiLevelType w:val="hybridMultilevel"/>
    <w:lvl w:ilvl="0">
      <w:lvlJc w:val="left"/>
      <w:lvlText w:val="(%1)"/>
      <w:numFmt w:val="decimal"/>
      <w:start w:val="4"/>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1)"/>
      <w:numFmt w:val="lowerLetter"/>
      <w:start w:val="2"/>
    </w:lvl>
  </w:abstractNum>
  <w:abstractNum w:abstractNumId="68">
    <w:nsid w:val="885E1B"/>
    <w:multiLevelType w:val="hybridMultilevel"/>
    <w:lvl w:ilvl="0">
      <w:lvlJc w:val="left"/>
      <w:lvlText w:val="(%1)"/>
      <w:numFmt w:val="upperLetter"/>
      <w:start w:val="1"/>
    </w:lvl>
  </w:abstractNum>
  <w:abstractNum w:abstractNumId="69">
    <w:nsid w:val="76272110"/>
    <w:multiLevelType w:val="hybridMultilevel"/>
    <w:lvl w:ilvl="0">
      <w:lvlJc w:val="left"/>
      <w:lvlText w:val="(%1)"/>
      <w:numFmt w:val="lowerRoman"/>
      <w:start w:val="1"/>
    </w:lvl>
  </w:abstractNum>
  <w:abstractNum w:abstractNumId="70">
    <w:nsid w:val="4C04A8AF"/>
    <w:multiLevelType w:val="hybridMultilevel"/>
    <w:lvl w:ilvl="0">
      <w:lvlJc w:val="left"/>
      <w:lvlText w:val="(%1)"/>
      <w:numFmt w:val="lowerLetter"/>
      <w:start w:val="5"/>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1)"/>
      <w:numFmt w:val="lowerLetter"/>
      <w:start w:val="1"/>
    </w:lvl>
  </w:abstractNum>
  <w:abstractNum w:abstractNumId="77">
    <w:nsid w:val="46B7D447"/>
    <w:multiLevelType w:val="hybridMultilevel"/>
    <w:lvl w:ilvl="0">
      <w:lvlJc w:val="left"/>
      <w:lvlText w:val="(%1)"/>
      <w:numFmt w:val="lowerLetter"/>
      <w:start w:val="3"/>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1."/>
      <w:numFmt w:val="decimal"/>
      <w:start w:val="1"/>
    </w:lvl>
  </w:abstractNum>
  <w:abstractNum w:abstractNumId="81">
    <w:nsid w:val="CC1016F"/>
    <w:multiLevelType w:val="hybridMultilevel"/>
    <w:lvl w:ilvl="0">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
      <w:numFmt w:val="bullet"/>
      <w:start w:val="1"/>
    </w:lvl>
  </w:abstractNum>
  <w:abstractNum w:abstractNumId="85">
    <w:nsid w:val="7F01579B"/>
    <w:multiLevelType w:val="hybridMultilevel"/>
    <w:lvl w:ilvl="0">
      <w:lvlJc w:val="left"/>
      <w:lvlText w:val="(%1)"/>
      <w:numFmt w:val="decimal"/>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
      <w:numFmt w:val="bullet"/>
      <w:start w:val="1"/>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1)"/>
      <w:numFmt w:val="lowerLetter"/>
      <w:start w:val="1"/>
    </w:lvl>
  </w:abstractNum>
  <w:abstractNum w:abstractNumId="91">
    <w:nsid w:val="5FB8011C"/>
    <w:multiLevelType w:val="hybridMultilevel"/>
    <w:lvl w:ilvl="0">
      <w:lvlJc w:val="left"/>
      <w:lvlText w:val="(%1)"/>
      <w:numFmt w:val="decimal"/>
      <w:start w:val="1"/>
    </w:lvl>
  </w:abstractNum>
  <w:abstractNum w:abstractNumId="92">
    <w:nsid w:val="6AA78F7F"/>
    <w:multiLevelType w:val="hybridMultilevel"/>
    <w:lvl w:ilvl="0">
      <w:lvlJc w:val="left"/>
      <w:lvlText w:val="(%1)"/>
      <w:numFmt w:val="decimal"/>
      <w:start w:val="1"/>
    </w:lvl>
  </w:abstractNum>
  <w:abstractNum w:abstractNumId="93">
    <w:nsid w:val="7672BD23"/>
    <w:multiLevelType w:val="hybridMultilevel"/>
    <w:lvl w:ilvl="0">
      <w:lvlJc w:val="left"/>
      <w:lvlText w:val="(%1)"/>
      <w:numFmt w:val="decimal"/>
      <w:start w:val="1"/>
    </w:lvl>
  </w:abstractNum>
  <w:abstractNum w:abstractNumId="94">
    <w:nsid w:val="6FC75AF8"/>
    <w:multiLevelType w:val="hybridMultilevel"/>
    <w:lvl w:ilvl="0">
      <w:lvlJc w:val="left"/>
      <w:lvlText w:val="%1)"/>
      <w:numFmt w:val="decimal"/>
      <w:start w:val="5"/>
    </w:lvl>
  </w:abstractNum>
  <w:abstractNum w:abstractNumId="95">
    <w:nsid w:val="6A5F7029"/>
    <w:multiLevelType w:val="hybridMultilevel"/>
    <w:lvl w:ilvl="0">
      <w:lvlJc w:val="left"/>
      <w:lvlText w:val="%1."/>
      <w:numFmt w:val="decimal"/>
      <w:start w:val="2"/>
    </w:lvl>
  </w:abstractNum>
  <w:abstractNum w:abstractNumId="96">
    <w:nsid w:val="7D5E18F8"/>
    <w:multiLevelType w:val="hybridMultilevel"/>
    <w:lvl w:ilvl="0">
      <w:lvlJc w:val="left"/>
      <w:lvlText w:val="%1."/>
      <w:numFmt w:val="decimal"/>
      <w:start w:val="3"/>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1."/>
      <w:numFmt w:val="decimal"/>
      <w:start w:val="4"/>
    </w:lvl>
  </w:abstractNum>
  <w:abstractNum w:abstractNumId="99">
    <w:nsid w:val="7DE67713"/>
    <w:multiLevelType w:val="hybridMultilevel"/>
    <w:lvl w:ilvl="0">
      <w:lvlJc w:val="left"/>
      <w:lvlText w:val="(%1)"/>
      <w:numFmt w:val="lowerLetter"/>
      <w:start w:val="1"/>
    </w:lvl>
  </w:abstractNum>
  <w:abstractNum w:abstractNumId="100">
    <w:nsid w:val="555C55B5"/>
    <w:multiLevelType w:val="hybridMultilevel"/>
    <w:lvl w:ilvl="0">
      <w:lvlJc w:val="left"/>
      <w:lvlText w:val="%1."/>
      <w:numFmt w:val="decimal"/>
      <w:start w:val="5"/>
    </w:lvl>
  </w:abstractNum>
  <w:abstractNum w:abstractNumId="101">
    <w:nsid w:val="3FA62ACA"/>
    <w:multiLevelType w:val="hybridMultilevel"/>
    <w:lvl w:ilvl="0">
      <w:lvlJc w:val="left"/>
      <w:lvlText w:val="(%1)"/>
      <w:numFmt w:val="decimal"/>
      <w:start w:val="1"/>
    </w:lvl>
  </w:abstractNum>
  <w:abstractNum w:abstractNumId="102">
    <w:nsid w:val="14FCE74E"/>
    <w:multiLevelType w:val="hybridMultilevel"/>
    <w:lvl w:ilvl="0">
      <w:lvlJc w:val="left"/>
      <w:lvlText w:val="(%1)"/>
      <w:numFmt w:val="lowerRoman"/>
      <w:start w:val="1"/>
    </w:lvl>
  </w:abstractNum>
  <w:abstractNum w:abstractNumId="103">
    <w:nsid w:val="6A3DD3E8"/>
    <w:multiLevelType w:val="hybridMultilevel"/>
    <w:lvl w:ilvl="0">
      <w:lvlJc w:val="left"/>
      <w:lvlText w:val="(%1)"/>
      <w:numFmt w:val="lowerRoman"/>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2023-04-03T00:16:52Z</dcterms:created>
  <dcterms:modified xsi:type="dcterms:W3CDTF">2023-04-03T00:16:52Z</dcterms:modified>
</cp:coreProperties>
</file>