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220345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July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7"/>
          <w:szCs w:val="37"/>
          <w:b w:val="1"/>
          <w:bCs w:val="1"/>
          <w:color w:val="auto"/>
        </w:rPr>
        <w:t>ARES ACQUISITION CORPORATION II</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197485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ind w:left="1101"/>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001-41691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98-1592112</w:t>
      </w:r>
    </w:p>
    <w:p>
      <w:pPr>
        <w:spacing w:after="0" w:line="10" w:lineRule="exact"/>
        <w:rPr>
          <w:sz w:val="24"/>
          <w:szCs w:val="24"/>
          <w:color w:val="auto"/>
        </w:rPr>
      </w:pPr>
    </w:p>
    <w:p>
      <w:pPr>
        <w:sectPr>
          <w:pgSz w:w="11900" w:h="16838" w:orient="portrait"/>
          <w:cols w:equalWidth="0" w:num="3">
            <w:col w:w="3861" w:space="720"/>
            <w:col w:w="2420" w:space="720"/>
            <w:col w:w="1920"/>
          </w:cols>
          <w:pgMar w:left="1119" w:top="345"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4" w:lineRule="exact"/>
        <w:rPr>
          <w:sz w:val="24"/>
          <w:szCs w:val="24"/>
          <w:color w:val="auto"/>
        </w:rPr>
      </w:pPr>
    </w:p>
    <w:p>
      <w:pPr>
        <w:sectPr>
          <w:pgSz w:w="11900" w:h="16838" w:orient="portrait"/>
          <w:cols w:equalWidth="0" w:num="3">
            <w:col w:w="3841" w:space="720"/>
            <w:col w:w="2340" w:space="720"/>
            <w:col w:w="2020"/>
          </w:cols>
          <w:pgMar w:left="1119" w:top="345" w:right="1139" w:bottom="1440" w:gutter="0" w:footer="0" w:header="0"/>
          <w:type w:val="continuous"/>
        </w:sectPr>
      </w:pPr>
    </w:p>
    <w:p>
      <w:pPr>
        <w:ind w:left="1481"/>
        <w:spacing w:after="0"/>
        <w:rPr>
          <w:sz w:val="20"/>
          <w:szCs w:val="20"/>
          <w:color w:val="auto"/>
        </w:rPr>
      </w:pPr>
      <w:r>
        <w:rPr>
          <w:rFonts w:ascii="Times New Roman" w:cs="Times New Roman" w:eastAsia="Times New Roman" w:hAnsi="Times New Roman"/>
          <w:sz w:val="15"/>
          <w:szCs w:val="15"/>
          <w:b w:val="1"/>
          <w:bCs w:val="1"/>
          <w:color w:val="auto"/>
        </w:rPr>
        <w:t>245 Park Avenue, 44th Floor</w:t>
      </w:r>
    </w:p>
    <w:p>
      <w:pPr>
        <w:spacing w:after="0" w:line="36" w:lineRule="exact"/>
        <w:rPr>
          <w:sz w:val="24"/>
          <w:szCs w:val="24"/>
          <w:color w:val="auto"/>
        </w:rPr>
      </w:pPr>
    </w:p>
    <w:p>
      <w:pPr>
        <w:ind w:left="1721"/>
        <w:spacing w:after="0"/>
        <w:rPr>
          <w:sz w:val="20"/>
          <w:szCs w:val="20"/>
          <w:color w:val="auto"/>
        </w:rPr>
      </w:pPr>
      <w:r>
        <w:rPr>
          <w:rFonts w:ascii="Times New Roman" w:cs="Times New Roman" w:eastAsia="Times New Roman" w:hAnsi="Times New Roman"/>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10167</w:t>
      </w:r>
    </w:p>
    <w:p>
      <w:pPr>
        <w:spacing w:after="0" w:line="35" w:lineRule="exact"/>
        <w:rPr>
          <w:sz w:val="24"/>
          <w:szCs w:val="24"/>
          <w:color w:val="auto"/>
        </w:rPr>
      </w:pPr>
    </w:p>
    <w:p>
      <w:pPr>
        <w:sectPr>
          <w:pgSz w:w="11900" w:h="16838" w:orient="portrait"/>
          <w:cols w:equalWidth="0" w:num="2">
            <w:col w:w="6401" w:space="720"/>
            <w:col w:w="2520"/>
          </w:cols>
          <w:pgMar w:left="1119" w:top="345"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62" w:lineRule="exact"/>
        <w:rPr>
          <w:sz w:val="24"/>
          <w:szCs w:val="24"/>
          <w:color w:val="auto"/>
        </w:rPr>
      </w:pPr>
    </w:p>
    <w:p>
      <w:pPr>
        <w:sectPr>
          <w:pgSz w:w="11900" w:h="16838" w:orient="portrait"/>
          <w:cols w:equalWidth="0" w:num="2">
            <w:col w:w="6301" w:space="720"/>
            <w:col w:w="2620"/>
          </w:cols>
          <w:pgMar w:left="1119" w:top="345"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(310) 201-4100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186690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Units, each consisting of one Class A Ordinary</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4"/>
              </w:rPr>
              <w:t>AACT.U</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Share, par value $0.0001 per share, and one-half of</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one redeemable warrant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Class A Ordinary Shares, par value $0.0001 per</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AACT</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share</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Redeemable warrants, each whole warrant</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AACT WS</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exercisable for one Class A Ordinary Share at an</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exercise price of $11.50</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Furnished as Exhibit 99.1 to this Current Report on Form 8-K (this “</w:t>
      </w:r>
      <w:r>
        <w:rPr>
          <w:rFonts w:ascii="Times New Roman" w:cs="Times New Roman" w:eastAsia="Times New Roman" w:hAnsi="Times New Roman"/>
          <w:sz w:val="16"/>
          <w:szCs w:val="16"/>
          <w:u w:val="single" w:color="auto"/>
          <w:color w:val="auto"/>
        </w:rPr>
        <w:t>Current Report</w:t>
      </w:r>
      <w:r>
        <w:rPr>
          <w:rFonts w:ascii="Times New Roman" w:cs="Times New Roman" w:eastAsia="Times New Roman" w:hAnsi="Times New Roman"/>
          <w:sz w:val="16"/>
          <w:szCs w:val="16"/>
          <w:color w:val="auto"/>
        </w:rPr>
        <w:t>”) and incorporated by reference is an investor presentation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July 9, 2025 (the “</w:t>
      </w:r>
      <w:r>
        <w:rPr>
          <w:rFonts w:ascii="Times New Roman" w:cs="Times New Roman" w:eastAsia="Times New Roman" w:hAnsi="Times New Roman"/>
          <w:sz w:val="16"/>
          <w:szCs w:val="16"/>
          <w:u w:val="single" w:color="auto"/>
          <w:color w:val="auto"/>
        </w:rPr>
        <w:t>Investor Presentation</w:t>
      </w:r>
      <w:r>
        <w:rPr>
          <w:rFonts w:ascii="Times New Roman" w:cs="Times New Roman" w:eastAsia="Times New Roman" w:hAnsi="Times New Roman"/>
          <w:sz w:val="16"/>
          <w:szCs w:val="16"/>
          <w:color w:val="auto"/>
        </w:rPr>
        <w:t>”), which will be used by Ares Acquisition Corporation II, a Cayman Islands exempted company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AACT</w:t>
      </w:r>
      <w:r>
        <w:rPr>
          <w:rFonts w:ascii="Times New Roman" w:cs="Times New Roman" w:eastAsia="Times New Roman" w:hAnsi="Times New Roman"/>
          <w:sz w:val="16"/>
          <w:szCs w:val="16"/>
          <w:color w:val="auto"/>
        </w:rPr>
        <w:t>”), and Kodiak Robotics, Inc., a Delaware corporation (“</w:t>
      </w:r>
      <w:r>
        <w:rPr>
          <w:rFonts w:ascii="Times New Roman" w:cs="Times New Roman" w:eastAsia="Times New Roman" w:hAnsi="Times New Roman"/>
          <w:sz w:val="16"/>
          <w:szCs w:val="16"/>
          <w:u w:val="single" w:color="auto"/>
          <w:color w:val="auto"/>
        </w:rPr>
        <w:t>Kodiak</w:t>
      </w:r>
      <w:r>
        <w:rPr>
          <w:rFonts w:ascii="Times New Roman" w:cs="Times New Roman" w:eastAsia="Times New Roman" w:hAnsi="Times New Roman"/>
          <w:sz w:val="16"/>
          <w:szCs w:val="16"/>
          <w:color w:val="auto"/>
        </w:rPr>
        <w:t>”), from time to time, with respect to the previously announced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proposed business combination (the “</w:t>
      </w:r>
      <w:r>
        <w:rPr>
          <w:rFonts w:ascii="Times New Roman" w:cs="Times New Roman" w:eastAsia="Times New Roman" w:hAnsi="Times New Roman"/>
          <w:sz w:val="16"/>
          <w:szCs w:val="16"/>
          <w:u w:val="single" w:color="auto"/>
          <w:color w:val="auto"/>
        </w:rPr>
        <w:t>Proposed Business Combination</w:t>
      </w:r>
      <w:r>
        <w:rPr>
          <w:rFonts w:ascii="Times New Roman" w:cs="Times New Roman" w:eastAsia="Times New Roman" w:hAnsi="Times New Roman"/>
          <w:sz w:val="16"/>
          <w:szCs w:val="16"/>
          <w:color w:val="auto"/>
        </w:rPr>
        <w:t>”) between AACT and Kodiak. The information contained in the Investor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Presentation is illustrative summary information that should be considered in the context of the Company’s filings with the Securities and Exchange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Commission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and other public announcements that the Company may make by press release or otherwise from time to time.</w:t>
      </w:r>
    </w:p>
    <w:p>
      <w:pPr>
        <w:spacing w:after="0" w:line="177" w:lineRule="exact"/>
        <w:rPr>
          <w:sz w:val="20"/>
          <w:szCs w:val="20"/>
          <w:color w:val="auto"/>
        </w:rPr>
      </w:pPr>
    </w:p>
    <w:p>
      <w:pPr>
        <w:ind w:right="40" w:firstLine="386"/>
        <w:spacing w:after="0" w:line="256" w:lineRule="auto"/>
        <w:rPr>
          <w:sz w:val="20"/>
          <w:szCs w:val="20"/>
          <w:color w:val="auto"/>
        </w:rPr>
      </w:pPr>
      <w:r>
        <w:rPr>
          <w:rFonts w:ascii="Times New Roman" w:cs="Times New Roman" w:eastAsia="Times New Roman" w:hAnsi="Times New Roman"/>
          <w:sz w:val="16"/>
          <w:szCs w:val="16"/>
          <w:color w:val="auto"/>
        </w:rPr>
        <w:t>The foregoing (including Exhibit 99.1) is being furnished pursuant to Item 7.01 and will not be deemed to be filed for purposes of Section 18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or otherwise be subject to the liabilities of that section, nor will it be deemed to be incorporated by reference in any registration statement, report or other document filed by the Company or Kodiak pursuant to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the Exchange Act.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1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This Current Report includes “forward-looking statements” including regarding AACT’s or Kodiak’s or their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Kodiak’s and AACT’s expectations with respect to the future performance and the success of the combined company following the consummation of the Proposed Business Combination (the “</w:t>
      </w:r>
      <w:r>
        <w:rPr>
          <w:rFonts w:ascii="Times New Roman" w:cs="Times New Roman" w:eastAsia="Times New Roman" w:hAnsi="Times New Roman"/>
          <w:sz w:val="15"/>
          <w:szCs w:val="15"/>
          <w:u w:val="single" w:color="auto"/>
          <w:color w:val="auto"/>
        </w:rPr>
        <w:t>combined company</w:t>
      </w:r>
      <w:r>
        <w:rPr>
          <w:rFonts w:ascii="Times New Roman" w:cs="Times New Roman" w:eastAsia="Times New Roman" w:hAnsi="Times New Roman"/>
          <w:sz w:val="15"/>
          <w:szCs w:val="15"/>
          <w:color w:val="auto"/>
        </w:rPr>
        <w:t>”); the expected benefits of the Proposed Business Combination; estimated total addressable markets for commercial trucking and public sector applications; estimated Kodiak Driver-as-a-Service Economics, including assumptions around costs per mile of a human driver, average cost of a human driver and expected customer cost savings; Kodiak’s operational and product roadmap, and its ability to produce and deploy the Kodiak Driver at scale; the regulatory landscape for the Kodiak Driver and complexities with compliance related to such landscape; the capitalization of the combined company after giving effect to the Proposed Business Combination; developments relating to Kodiak’s competitors and industry; Kodiak’s ability to successfully collaborate with business partners and customers; Kodiak’s future capital requirements and sources and uses of cash; expectations regarding Kodiak’s expansion plans and opportunities; and the completion of the $100.0 million contemplated PIPE investment. These statements are based on various assumptions, whether or not identified in this Current Report, and on the current expectations of Kodiak’s and AACT’s management and are not predictions of actual performance. These forward-looking statements are provided for illustrative purposes only and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and AACT. These forward-looking statements are subject to a number of risks and uncertainties, including changes in business, market, financial, political and legal conditions; the rapid evolution of autonomous vehicle technology and flaws or errors in Kodiak’s solutions or flaws in or misuse of autonomous vehicle technology in general; the inability of the parties to successfully or timely consummate the Proposed Business Combination, including the risk that any regulatory approvals are not obtained, are delayed or are subject to unanticipated conditions that could adversely affect the combined company or the expected benefits of the Proposed Business Combination or that the approval of the equity holders of Kodiak or AACT is not obtained; failure to realize the anticipated benefits of the Proposed Business Combination; risks related to the rollout of Kodiak’s business and the timing of expected business milestones; the effects of 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the amount of redemption requests made by AACT’s public equity holders; and the ability of AACT or the combined company to issue equity or equity-linked securities in connection with the Proposed Business Combination or in the future. Additional information concerning these and other factors that may</w:t>
      </w:r>
    </w:p>
    <w:p>
      <w:pPr>
        <w:sectPr>
          <w:pgSz w:w="11900" w:h="16838" w:orient="portrait"/>
          <w:cols w:equalWidth="0" w:num="1">
            <w:col w:w="9640"/>
          </w:cols>
          <w:pgMar w:left="1120" w:top="275" w:right="1139" w:bottom="1440" w:gutter="0" w:footer="0" w:header="0"/>
        </w:sectPr>
      </w:pPr>
    </w:p>
    <w:bookmarkStart w:id="2" w:name="page3"/>
    <w:bookmarkEnd w:id="2"/>
    <w:p>
      <w:pPr>
        <w:ind w:left="1" w:right="6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impact such forward-looking statements can be found in filings and potential filings by Kodiak, AACT or the combined company resulting from the Proposed Business Combination with the SEC, including under the heading “Risk Factors.” If any of these risks materialize or any assumptions prove incorrect, actual results could differ materially from the results implied by these forward-looking statements. There may be additional risks that neither Kodiak nor AACT presently know or that Kodiak and AACT currently believe are immaterial that could also cause actual results to differ from those contained in the forward-looking statements. These forward-looking statements are provided for illustrative purposes only and are not intended to serve as and must not be relied on by investors as a guarantee, an assurance, a prediction or a definitive statement of fact or probability.</w:t>
      </w:r>
    </w:p>
    <w:p>
      <w:pPr>
        <w:spacing w:after="0" w:line="152" w:lineRule="exact"/>
        <w:rPr>
          <w:sz w:val="20"/>
          <w:szCs w:val="20"/>
          <w:color w:val="auto"/>
        </w:rPr>
      </w:pPr>
    </w:p>
    <w:p>
      <w:pPr>
        <w:ind w:left="1" w:right="140"/>
        <w:spacing w:after="0" w:line="251" w:lineRule="auto"/>
        <w:rPr>
          <w:sz w:val="20"/>
          <w:szCs w:val="20"/>
          <w:color w:val="auto"/>
        </w:rPr>
      </w:pPr>
      <w:r>
        <w:rPr>
          <w:rFonts w:ascii="Times New Roman" w:cs="Times New Roman" w:eastAsia="Times New Roman" w:hAnsi="Times New Roman"/>
          <w:sz w:val="16"/>
          <w:szCs w:val="16"/>
          <w:color w:val="auto"/>
        </w:rPr>
        <w:t>In addition, forward-looking statements reflect Kodiak’s and AACT’s expectations, plans or forecasts of future events and views as of the date of this Current Report. Kodiak and AACT anticipate that subsequent events and developments will cause Kodiak’s and AACT’s assessments to change. However, while Kodiak and AACT may elect to update these forward-looking statements at some point in the future, Kodiak and AACT specifically disclaim any obligation to do so, except as required by law. These forward-looking statements should not be relied upon as representing Kodiak’s or AACT’s assessments as of any date subsequent to the date of this Current Report. Accordingly, undue reliance should not be placed upon the forward-looking statements. Neither Kodiak, AACT, nor any of their respective affiliates have any obligation to update these forward-looking statements other than as required by law.</w:t>
      </w:r>
    </w:p>
    <w:p>
      <w:pPr>
        <w:spacing w:after="0" w:line="167" w:lineRule="exact"/>
        <w:rPr>
          <w:sz w:val="20"/>
          <w:szCs w:val="20"/>
          <w:color w:val="auto"/>
        </w:rPr>
      </w:pPr>
    </w:p>
    <w:p>
      <w:pPr>
        <w:ind w:left="1" w:right="40"/>
        <w:spacing w:after="0" w:line="256" w:lineRule="auto"/>
        <w:rPr>
          <w:sz w:val="20"/>
          <w:szCs w:val="20"/>
          <w:color w:val="auto"/>
        </w:rPr>
      </w:pPr>
      <w:r>
        <w:rPr>
          <w:rFonts w:ascii="Times New Roman" w:cs="Times New Roman" w:eastAsia="Times New Roman" w:hAnsi="Times New Roman"/>
          <w:sz w:val="16"/>
          <w:szCs w:val="16"/>
          <w:color w:val="auto"/>
        </w:rPr>
        <w:t>In addition, this Current Report contains certain information about the historical performance of Kodiak. You should not view information related to the past performance of Kodiak as indicative of future results. Certain information set forth in this Current Report includes estimates and targets and involves significant elements of subjective judgment and analysis. No representations are made as to the accuracy of such estimates or targets or that all assumptions relating to such estimates or targets have been considered or stated or that such estimates or targets will be realized.</w:t>
      </w:r>
    </w:p>
    <w:p>
      <w:pPr>
        <w:spacing w:after="0" w:line="2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5"/>
          <w:szCs w:val="15"/>
          <w:color w:val="auto"/>
        </w:rPr>
        <w:t>In connection with the Proposed Business Combination, AACT and Kodiak filed a registration statement on Form S-4 with the SEC on May 14, 2025 (File No. 333-287278) (as may be amended from time to time,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which includes a prospectus with respect to the combined company’s securities to be issued in connection with the Proposed Business Combination and a preliminary proxy statement with respect to the shareholder meeting of AACT to vote on the Proposed Business Combination. AACT and Kodiak also plan to file other documents and relevant materials with the SEC regarding the Proposed Business Combination. After the Registration Statement is declared effective by the SEC, the definitive proxy statement/prospectus included in the Registration Statement will be mailed to the shareholders of AACT as of the record date to be established for voting on the Proposed Business Combination. SECURITY HOLDERS OF KODIAK AND AACT ARE URGED TO READ THE PROXY STATEMENT/PROSPECTUS (INCLUDING ALL AMENDMENTS AND SUPPLEMENTS THERETO) AND OTHER DOCUMENTS AND RELEVANT MATERIALS RELATING TO THE PROPOSED BUSINESS COMBINATION THAT WILL BE FILED WITH THE SEC CAREFULLY AND IN THEIR ENTIRETY WHEN THEY BECOME AVAILABLE BEFORE MAKING ANY VOTING DECISION WITH RESPECT TO THE PROPOSED BUSINESS COMBINATION BECAUSE THEY WILL CONTAIN IMPORTANT INFORMATION ABOUT THE PROPOSED BUSINESS COMBINATION AND THE PARTIES TO THE PROPOSED BUSINESS COMBINATION. Shareholders are able to obtain free copies of the proxy statement/prospectus and other documents containing important information about Kodiak and AACT once such documents are filed with the SEC through the website maintained by the SEC at http://www.sec.gov. In addition, the documents filed by AACT may be obtained free of charge from AACT at www.aresacquisitioncorporationii.com. Alternatively, these documents, when available, can be obtained free of charge from AACT upon written request to Ares Acquisition Corporation II, 245 Park Avenue, 44th Floor, New York, NY 10167, Attn: Secretary, or by calling</w:t>
      </w:r>
    </w:p>
    <w:p>
      <w:pPr>
        <w:spacing w:after="0" w:line="9" w:lineRule="exact"/>
        <w:rPr>
          <w:sz w:val="20"/>
          <w:szCs w:val="20"/>
          <w:color w:val="auto"/>
        </w:rPr>
      </w:pPr>
    </w:p>
    <w:p>
      <w:pPr>
        <w:ind w:left="1" w:right="220" w:hanging="1"/>
        <w:spacing w:after="0" w:line="253" w:lineRule="auto"/>
        <w:tabs>
          <w:tab w:leader="none" w:pos="38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818-5298. The information contained on, or that may be accessed through the websites referenced in this Current Report is not incorporated by reference into, and is not a part of, this Current Report.</w:t>
      </w:r>
    </w:p>
    <w:p>
      <w:pPr>
        <w:sectPr>
          <w:pgSz w:w="11900" w:h="16838" w:orient="portrait"/>
          <w:cols w:equalWidth="0" w:num="1">
            <w:col w:w="9621"/>
          </w:cols>
          <w:pgMar w:left="1119" w:top="277" w:right="1159" w:bottom="1440" w:gutter="0" w:footer="0" w:header="0"/>
        </w:sectPr>
      </w:pPr>
    </w:p>
    <w:bookmarkStart w:id="3" w:name="page4"/>
    <w:bookmarkEnd w:id="3"/>
    <w:p>
      <w:pPr>
        <w:ind w:lef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Participants in the Solicitation</w:t>
      </w:r>
    </w:p>
    <w:p>
      <w:pPr>
        <w:spacing w:after="0" w:line="102" w:lineRule="exact"/>
        <w:rPr>
          <w:sz w:val="20"/>
          <w:szCs w:val="20"/>
          <w:color w:val="auto"/>
        </w:rPr>
      </w:pPr>
    </w:p>
    <w:p>
      <w:pPr>
        <w:ind w:left="1"/>
        <w:spacing w:after="0" w:line="271" w:lineRule="auto"/>
        <w:rPr>
          <w:sz w:val="20"/>
          <w:szCs w:val="20"/>
          <w:color w:val="auto"/>
        </w:rPr>
      </w:pPr>
      <w:r>
        <w:rPr>
          <w:rFonts w:ascii="Times New Roman" w:cs="Times New Roman" w:eastAsia="Times New Roman" w:hAnsi="Times New Roman"/>
          <w:sz w:val="15"/>
          <w:szCs w:val="15"/>
          <w:color w:val="auto"/>
        </w:rPr>
        <w:t>AACT, Kodiak and their respective directors and executive officers may be deemed to be participants in the solicitation of proxies from the shareholders of AACT in connection with the Proposed Business Combination. Security holders may obtain more detailed information regarding the names, affiliations and interests of certain of AACT’s executive officers and directors in the solicitation by reading AACT’s final prospectus related to its initial public offering filed with the SEC on April 24, 2023, the definitive proxy statement/prospectus, which will become available after the Registration Statement has been declared effective by the SEC, and other relevant materials filed with the SEC in connection with the Proposed Business Combination when they become available. Information concerning the interests of AACT’s participants in the solicitation, which may, in some cases, be different from those of AACT’s shareholders generally, is set forth in the preliminary proxy statement/prospectus included in the Registration Statement.</w:t>
      </w:r>
    </w:p>
    <w:p>
      <w:pPr>
        <w:spacing w:after="0" w:line="2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102" w:lineRule="exact"/>
        <w:rPr>
          <w:sz w:val="20"/>
          <w:szCs w:val="20"/>
          <w:color w:val="auto"/>
        </w:rPr>
      </w:pPr>
    </w:p>
    <w:p>
      <w:pPr>
        <w:ind w:left="1" w:right="60"/>
        <w:spacing w:after="0" w:line="254" w:lineRule="auto"/>
        <w:rPr>
          <w:sz w:val="20"/>
          <w:szCs w:val="20"/>
          <w:color w:val="auto"/>
        </w:rPr>
      </w:pPr>
      <w:r>
        <w:rPr>
          <w:rFonts w:ascii="Times New Roman" w:cs="Times New Roman" w:eastAsia="Times New Roman" w:hAnsi="Times New Roman"/>
          <w:sz w:val="16"/>
          <w:szCs w:val="16"/>
          <w:color w:val="auto"/>
        </w:rPr>
        <w:t>This Current Report shall not constitute a solicitation of any proxy, vote, consent or approval in any jurisdiction in connection with the Proposed Business Combination and shall not constitute an offer to sell or a solicitation of an offer to buy the securities of AACT, Kodiak or the combined company resulting from the Proposed Business Combination,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90" w:lineRule="exact"/>
        <w:rPr>
          <w:sz w:val="20"/>
          <w:szCs w:val="20"/>
          <w:color w:val="auto"/>
        </w:rPr>
      </w:pPr>
    </w:p>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0" w:lineRule="exact"/>
        <w:rPr>
          <w:sz w:val="20"/>
          <w:szCs w:val="20"/>
          <w:color w:val="auto"/>
        </w:rPr>
      </w:pPr>
    </w:p>
    <w:p>
      <w:pPr>
        <w:ind w:left="221" w:hanging="221"/>
        <w:spacing w:after="0"/>
        <w:tabs>
          <w:tab w:leader="none" w:pos="22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2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1"/>
        <w:spacing w:after="0"/>
        <w:tabs>
          <w:tab w:leader="none" w:pos="741"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1277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56"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Investor Presentation dated July 9, 2025.</w:t>
      </w:r>
    </w:p>
    <w:p>
      <w:pPr>
        <w:spacing w:after="0" w:line="100"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21"/>
          </w:cols>
          <w:pgMar w:left="1119" w:top="275" w:right="1159" w:bottom="1440" w:gutter="0" w:footer="0" w:header="0"/>
        </w:sectPr>
      </w:pPr>
    </w:p>
    <w:bookmarkStart w:id="4" w:name="page5"/>
    <w:bookmarkEnd w:id="4"/>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6"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July 9, 2025</w:t>
      </w:r>
    </w:p>
    <w:p>
      <w:pPr>
        <w:spacing w:after="0" w:line="2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ARES ACQUISITION CORPORATION II</w:t>
      </w:r>
    </w:p>
    <w:p>
      <w:pPr>
        <w:spacing w:after="0" w:line="196" w:lineRule="exact"/>
        <w:rPr>
          <w:sz w:val="20"/>
          <w:szCs w:val="20"/>
          <w:color w:val="auto"/>
        </w:rPr>
      </w:pPr>
    </w:p>
    <w:p>
      <w:pPr>
        <w:ind w:left="5800"/>
        <w:spacing w:after="0"/>
        <w:tabs>
          <w:tab w:leader="none" w:pos="63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4024630</wp:posOffset>
            </wp:positionH>
            <wp:positionV relativeFrom="paragraph">
              <wp:posOffset>13970</wp:posOffset>
            </wp:positionV>
            <wp:extent cx="21024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2485"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Anton Feingold</w:t>
      </w:r>
    </w:p>
    <w:p>
      <w:pPr>
        <w:spacing w:after="0" w:line="22" w:lineRule="exact"/>
        <w:rPr>
          <w:sz w:val="20"/>
          <w:szCs w:val="20"/>
          <w:color w:val="auto"/>
        </w:rPr>
      </w:pPr>
    </w:p>
    <w:p>
      <w:pPr>
        <w:ind w:left="5800"/>
        <w:spacing w:after="0"/>
        <w:tabs>
          <w:tab w:leader="none" w:pos="6320" w:val="left"/>
        </w:tabs>
        <w:rPr>
          <w:sz w:val="20"/>
          <w:szCs w:val="20"/>
          <w:color w:val="auto"/>
        </w:rPr>
      </w:pPr>
      <w:r>
        <w:rPr>
          <w:rFonts w:ascii="Times New Roman" w:cs="Times New Roman" w:eastAsia="Times New Roman" w:hAnsi="Times New Roman"/>
          <w:sz w:val="16"/>
          <w:szCs w:val="16"/>
          <w:color w:val="auto"/>
        </w:rPr>
        <w:t>Title:</w:t>
        <w:tab/>
        <w:t>Secretary</w:t>
      </w:r>
    </w:p>
    <w:p>
      <w:pPr>
        <w:sectPr>
          <w:pgSz w:w="11900" w:h="16838" w:orient="portrait"/>
          <w:cols w:equalWidth="0" w:num="1">
            <w:col w:w="9339"/>
          </w:cols>
          <w:pgMar w:left="1120" w:top="275" w:right="1440" w:bottom="1440" w:gutter="0" w:footer="0" w:header="0"/>
        </w:sectPr>
      </w:pPr>
    </w:p>
    <w:bookmarkStart w:id="5" w:name="page6"/>
    <w:bookmarkEnd w:id="5"/>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6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88"/>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2025-07-09T15:30:49Z</dcterms:created>
  <dcterms:modified xsi:type="dcterms:W3CDTF">2025-07-09T15:30:49Z</dcterms:modified>
</cp:coreProperties>
</file>