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001-41691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98-1592112</w:t>
            </w:r>
          </w:p>
        </w:tc>
      </w:tr>
      <w:tr>
        <w:trPr>
          <w:trHeight w:val="149"/>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245 Park Avenue, 44th Floor</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32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10167</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(310) 201-4100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AACT.U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par value $0.0001 per share, and one-half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AACT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AACT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Class A Ordinary Share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851"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Investment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September 15, 2025, in connection with a financing effort related to the previously announced proposed business combination (the “</w:t>
      </w:r>
      <w:r>
        <w:rPr>
          <w:rFonts w:ascii="Times New Roman" w:cs="Times New Roman" w:eastAsia="Times New Roman" w:hAnsi="Times New Roman"/>
          <w:sz w:val="18"/>
          <w:szCs w:val="18"/>
          <w:u w:val="single" w:color="auto"/>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between Kodiak Robotics, Inc. (“</w:t>
      </w:r>
      <w:r>
        <w:rPr>
          <w:rFonts w:ascii="Times New Roman" w:cs="Times New Roman" w:eastAsia="Times New Roman" w:hAnsi="Times New Roman"/>
          <w:sz w:val="18"/>
          <w:szCs w:val="18"/>
          <w:u w:val="single" w:color="auto"/>
          <w:color w:val="auto"/>
        </w:rPr>
        <w:t>Legacy Kodiak</w:t>
      </w:r>
      <w:r>
        <w:rPr>
          <w:rFonts w:ascii="Times New Roman" w:cs="Times New Roman" w:eastAsia="Times New Roman" w:hAnsi="Times New Roman"/>
          <w:sz w:val="18"/>
          <w:szCs w:val="18"/>
          <w:color w:val="auto"/>
        </w:rPr>
        <w:t>”) and Ares Acquisition Corporation II (“</w:t>
      </w:r>
      <w:r>
        <w:rPr>
          <w:rFonts w:ascii="Times New Roman" w:cs="Times New Roman" w:eastAsia="Times New Roman" w:hAnsi="Times New Roman"/>
          <w:sz w:val="18"/>
          <w:szCs w:val="18"/>
          <w:u w:val="single" w:color="auto"/>
          <w:color w:val="auto"/>
        </w:rPr>
        <w:t>AACT</w:t>
      </w:r>
      <w:r>
        <w:rPr>
          <w:rFonts w:ascii="Times New Roman" w:cs="Times New Roman" w:eastAsia="Times New Roman" w:hAnsi="Times New Roman"/>
          <w:sz w:val="18"/>
          <w:szCs w:val="18"/>
          <w:color w:val="auto"/>
        </w:rPr>
        <w:t>”), AACT may opportunistically enter into subscription agreements with certain institutional and accredited investors (each, a “</w:t>
      </w:r>
      <w:r>
        <w:rPr>
          <w:rFonts w:ascii="Times New Roman" w:cs="Times New Roman" w:eastAsia="Times New Roman" w:hAnsi="Times New Roman"/>
          <w:sz w:val="18"/>
          <w:szCs w:val="18"/>
          <w:u w:val="single" w:color="auto"/>
          <w:color w:val="auto"/>
        </w:rPr>
        <w:t>Preferred Investor</w:t>
      </w:r>
      <w:r>
        <w:rPr>
          <w:rFonts w:ascii="Times New Roman" w:cs="Times New Roman" w:eastAsia="Times New Roman" w:hAnsi="Times New Roman"/>
          <w:sz w:val="18"/>
          <w:szCs w:val="18"/>
          <w:color w:val="auto"/>
        </w:rPr>
        <w:t>” and each subscription agreement a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Pursuant to the Subscription Agreements, the Preferred Investors agreed or will agree, subject to the terms and conditions set forth in the Subscription Agreements, and following the Domestication (as defined below), to subscribe for and purchase from Kodiak (as defined below) shares of Kodiak Series A Preferred Stock and PIPE Warrants (each as defined below). Such transactions are referred to as the “Series A Preferred Investment.” The closing of the Series A Preferred Investment is conditioned upon, among other things, the completion or concurrent consummation of the proposed business combination.</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As of September 15, 2025, AACT has entered into a Subscription Agreement with certain Preferred Investors for an aggregate purchase price of $145 million. One of such Preferred Investors previously entered into a subscription agreement for an aggregate purchase price of $50 million in connection with AACT’s previously announced common stock PIPE investment, which was amended and restated in the form of a Subscription Agreement in connection with the Preferred Investor’s Series A Preferred Investment. As a result of such amendment and restatement, the obligation of such Preferred Investors to purchase the $50 million of common stock PIPE investment was replaced with the obligation to purchase the Series A Preferred Stock and PIPE Warrants. AACT reserves the right to raise incremental proceeds in connection with the Series A Preferred Investment.</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announced, AACT, Legacy Kodiak and AAC II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 Business Combination Agreement (as it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in connection with the proposed business combination. Pursuant to the terms of the Business Combination Agreement, subject to obtaining the required shareholder approvals and at least one day prior to the time of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of the proposed business combination, AACT will deregister as a Cayman Islands exempted company and transfer by way of continuation to and domesticate as a corporation incorporated under the laws of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In connection with the Domestication, AACT will change its name to “Kodiak AI, Inc.” (such company after the Domestication, “</w:t>
      </w:r>
      <w:r>
        <w:rPr>
          <w:rFonts w:ascii="Times New Roman" w:cs="Times New Roman" w:eastAsia="Times New Roman" w:hAnsi="Times New Roman"/>
          <w:sz w:val="18"/>
          <w:szCs w:val="18"/>
          <w:u w:val="single" w:color="auto"/>
          <w:color w:val="auto"/>
        </w:rPr>
        <w:t>Kodiak</w:t>
      </w:r>
      <w:r>
        <w:rPr>
          <w:rFonts w:ascii="Times New Roman" w:cs="Times New Roman" w:eastAsia="Times New Roman" w:hAnsi="Times New Roman"/>
          <w:sz w:val="18"/>
          <w:szCs w:val="18"/>
          <w:color w:val="auto"/>
        </w:rPr>
        <w:t>”). In connection with the Closing, each then issued and outstanding Class A ordinary share of AACT, par value $0.0001 per share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will convert automatically, on a one-for-one basis, into one share of common stock, par value $0.0001 per share, of Kodiak (the “</w:t>
      </w:r>
      <w:r>
        <w:rPr>
          <w:rFonts w:ascii="Times New Roman" w:cs="Times New Roman" w:eastAsia="Times New Roman" w:hAnsi="Times New Roman"/>
          <w:sz w:val="18"/>
          <w:szCs w:val="18"/>
          <w:u w:val="single" w:color="auto"/>
          <w:color w:val="auto"/>
        </w:rPr>
        <w:t>Kodiak Common Stock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Agreements, the Preferred Investors agreed or will agree, among other things, to purchase, at the Closing and following the Domestication, shares of 9.99% Series A Cumulative Convertible Preferred Stock of Kodiak, par value $0.0001 per share (the “</w:t>
      </w:r>
      <w:r>
        <w:rPr>
          <w:rFonts w:ascii="Times New Roman" w:cs="Times New Roman" w:eastAsia="Times New Roman" w:hAnsi="Times New Roman"/>
          <w:sz w:val="18"/>
          <w:szCs w:val="18"/>
          <w:u w:val="single" w:color="auto"/>
          <w:color w:val="auto"/>
        </w:rPr>
        <w:t>Kodiak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having the rights, preferences and privileges set forth in the Certificate of Designation of Preferences, Rights and Limitations of 9.99% Series A Cumulative Convertible Preferred Stock (the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and warrants to purchase a number of shares of Kodiak Common Stock equal to 125% of the amount of shares into which such shares of Kodiak Common Stock underlying the Kodiak Series A Preferred Stock are convertible on the Closing Date (a “</w:t>
      </w:r>
      <w:r>
        <w:rPr>
          <w:rFonts w:ascii="Times New Roman" w:cs="Times New Roman" w:eastAsia="Times New Roman" w:hAnsi="Times New Roman"/>
          <w:sz w:val="18"/>
          <w:szCs w:val="18"/>
          <w:u w:val="single" w:color="auto"/>
          <w:color w:val="auto"/>
        </w:rPr>
        <w:t>PIPE Warrant</w:t>
      </w:r>
      <w:r>
        <w:rPr>
          <w:rFonts w:ascii="Times New Roman" w:cs="Times New Roman" w:eastAsia="Times New Roman" w:hAnsi="Times New Roman"/>
          <w:sz w:val="18"/>
          <w:szCs w:val="18"/>
          <w:color w:val="auto"/>
        </w:rPr>
        <w:t>”). Each share of Kodiak Series A Preferred Stock will have a stated value of $1,200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a Preferred Investor may elect to reduce, by one Kodiak Series A Preferred Stock for every 100 Open Market Purchase Shares or Currently Owned Shares (each as defined below), the number of shares of Kodiak Series A Preferred Stock it is obligated to purchase under its Subscription Agreement (together with the corresponding number of Series A Preferred Investor Warrants such Preferred Investor is eligible to receive) up to the total amount of shares of Kodiak Series A Preferred Stock subscribed for under the Subscription Agreement, to the extent the Preferred Investor (i) purchases Class A Shares in open market transactions at a price less than the Redemption Price (as defined in the Business Combination Agreement) prior to one business day before the redemption deadline established for the extraordinary general meeting of AACT to approve the proposed business combination (the “</w:t>
      </w:r>
      <w:r>
        <w:rPr>
          <w:rFonts w:ascii="Times New Roman" w:cs="Times New Roman" w:eastAsia="Times New Roman" w:hAnsi="Times New Roman"/>
          <w:sz w:val="18"/>
          <w:szCs w:val="18"/>
          <w:u w:val="single" w:color="auto"/>
          <w:color w:val="auto"/>
        </w:rPr>
        <w:t>Open Market Purchase Shares</w:t>
      </w:r>
      <w:r>
        <w:rPr>
          <w:rFonts w:ascii="Times New Roman" w:cs="Times New Roman" w:eastAsia="Times New Roman" w:hAnsi="Times New Roman"/>
          <w:sz w:val="18"/>
          <w:szCs w:val="18"/>
          <w:color w:val="auto"/>
        </w:rPr>
        <w:t>”); or (ii) beneficially owned any Class A Shares as of the date of its Subscription Agreement (the “</w:t>
      </w:r>
      <w:r>
        <w:rPr>
          <w:rFonts w:ascii="Times New Roman" w:cs="Times New Roman" w:eastAsia="Times New Roman" w:hAnsi="Times New Roman"/>
          <w:sz w:val="18"/>
          <w:szCs w:val="18"/>
          <w:u w:val="single" w:color="auto"/>
          <w:color w:val="auto"/>
        </w:rPr>
        <w:t>Currently Owned Shares</w:t>
      </w:r>
      <w:r>
        <w:rPr>
          <w:rFonts w:ascii="Times New Roman" w:cs="Times New Roman" w:eastAsia="Times New Roman" w:hAnsi="Times New Roman"/>
          <w:sz w:val="18"/>
          <w:szCs w:val="18"/>
          <w:color w:val="auto"/>
        </w:rPr>
        <w:t>”). With respect to Open Market Purchase Shares, the Preferred</w:t>
      </w:r>
    </w:p>
    <w:p>
      <w:pPr>
        <w:sectPr>
          <w:pgSz w:w="11900" w:h="16838" w:orient="portrait"/>
          <w:cols w:equalWidth="0" w:num="1">
            <w:col w:w="10980"/>
          </w:cols>
          <w:pgMar w:left="440" w:top="293" w:right="479" w:bottom="1440" w:gutter="0" w:footer="0" w:header="0"/>
        </w:sectPr>
      </w:pPr>
    </w:p>
    <w:bookmarkStart w:id="2" w:name="page3"/>
    <w:bookmarkEnd w:id="2"/>
    <w:p>
      <w:pPr>
        <w:ind w:left="4"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Investor must agree to (i) not sell or otherwise transfer any Open Market Purchase Shares prior to the Closing; (ii) not vote any Open Market Purchase Shares in favor of approving the proposed business combination or any extension of AACT and instead submit a proxy abstaining from voting on such proposal; and (iii) to the extent such investor has the right to have any of its Open Market Purchase Shares redeemed for cash in connection with the Closing or in connection with any extension of AACT, not exercise any such redemption rights. With respect to Currently Owned Shares, the Preferred Investor must agree to (i) not sell or otherwise transfer any Currently Owned Shares prior to the Closing; (ii) vote all of its Currently Owned Shares in favor of approving the proposed business combination or any extension of AACT; and (iii) to the extent such investor has the right to have any of its Currently Owned Shares redeemed for cash in connection with the Closing or in connection with any extension of AACT, not exercise any such redemption rights.</w:t>
      </w:r>
    </w:p>
    <w:p>
      <w:pPr>
        <w:spacing w:after="0" w:line="192" w:lineRule="exact"/>
        <w:rPr>
          <w:sz w:val="20"/>
          <w:szCs w:val="20"/>
          <w:color w:val="auto"/>
        </w:rPr>
      </w:pPr>
    </w:p>
    <w:p>
      <w:pPr>
        <w:jc w:val="both"/>
        <w:ind w:left="4" w:right="340" w:firstLine="440"/>
        <w:spacing w:after="0" w:line="312" w:lineRule="auto"/>
        <w:rPr>
          <w:sz w:val="20"/>
          <w:szCs w:val="20"/>
          <w:color w:val="auto"/>
        </w:rPr>
      </w:pPr>
      <w:r>
        <w:rPr>
          <w:rFonts w:ascii="Times New Roman" w:cs="Times New Roman" w:eastAsia="Times New Roman" w:hAnsi="Times New Roman"/>
          <w:sz w:val="17"/>
          <w:szCs w:val="17"/>
          <w:color w:val="auto"/>
        </w:rPr>
        <w:t>The form of Subscription Agreement includes customary representations and warranties from AACT and the Preferred Investors, is subject to customary closing conditions and contain certain customary registration rights in respect of the Kodiak Series A Preferred Stock and PIPE Warrants.</w:t>
      </w:r>
    </w:p>
    <w:p>
      <w:pPr>
        <w:spacing w:after="0" w:line="14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Subscription Agreements, until November 29, 2025, AACT shall not, without the prior written consent of the Preferred Investors who purchased at least a majority of the Kodiak Series A Preferred Stock under the Subscription Agreements, issue, enter into any agreement to issue or announce the issuance of any shares of Kodiak Common Stock or Common Stock Equivalents (as defined in the Certificate of Designation), in each case other than Exempt Issuances (as defined in the Certificate of Designation).</w:t>
      </w:r>
    </w:p>
    <w:p>
      <w:pPr>
        <w:spacing w:after="0" w:line="178"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Kodiak Series A Preferred Stock will accrue dividends daily at the rate of 9.99% per annum of the Accrued Value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Certificate of Designation) (if paid in kind), plus the amount of previously accrued dividends paid in kind, or 7.99% per annum of the Accrued Value (if paid in cash), plus the amount of previously accrued dividends paid in kind. Such dividends will compound semi-annually.</w:t>
      </w:r>
    </w:p>
    <w:p>
      <w:pPr>
        <w:spacing w:after="0" w:line="173"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liquidation or deemed liquidation event, the holders of Kodiak Series A Preferred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out of the available proceeds, before any distribution is made to holders of Kodiak Common Stock or any other junior securities, an amount per share equal to the greater of (i) (x) 100% of the Accrued Value on each share of Kodiak Series A Preferred Stock, plus (y) the accrued but unpaid or uncompounded portion of the accrued dividend since the most recent semi-annual dividend date; or (ii) such amount per share as would have been payable had all shares of Kodiak Series A Preferred Stock been converted into Kodiak Common Stock immediately prior to the liquidation event.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Protective Provisions</w:t>
      </w:r>
      <w:r>
        <w:rPr>
          <w:rFonts w:ascii="Times New Roman" w:cs="Times New Roman" w:eastAsia="Times New Roman" w:hAnsi="Times New Roman"/>
          <w:sz w:val="18"/>
          <w:szCs w:val="18"/>
          <w:color w:val="auto"/>
        </w:rPr>
        <w:t>: Kodiak shall not, without the affirmative vote or action by written consent of holders of more than 50% of the issued and</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outstanding shares of Kodiak Series A Preferred Stock, take any of the following actions: (i) liquidate, dissolve or wind up the affairs of Kodiak;</w:t>
      </w:r>
    </w:p>
    <w:p>
      <w:pPr>
        <w:spacing w:after="0" w:line="9" w:lineRule="exact"/>
        <w:rPr>
          <w:sz w:val="20"/>
          <w:szCs w:val="20"/>
          <w:color w:val="auto"/>
        </w:rPr>
      </w:pPr>
    </w:p>
    <w:p>
      <w:pPr>
        <w:ind w:left="4" w:right="20" w:hanging="4"/>
        <w:spacing w:after="0" w:line="252"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bylaws, or Certificate of Designation in a manner adverse to Kodiak Series A Preferred Stock; (iii) create or authorize the creation of or issue any other security convertible into or exercisable for any equity security unless such security ranks junior to Kodiak Series A Preferred Stock with respect to its rights, preferences and privileges, or increase the authorized number of shares of Kodiak Series A Preferred Stock; or (iv) purchase or redeem or pay any cash dividend on any capital stock ranking junior to Kodiak Series A Preferred Stock prior to payment of such cash dividend on the Kodiak Series A Preferred Stock or purchase or redeem any capital stock ranking junior to Kodiak Series A Preferred Stock, other than stock repurchased at cost from former employees and consultants in connection with the cessation of their service.</w:t>
      </w:r>
    </w:p>
    <w:p>
      <w:pPr>
        <w:spacing w:after="0" w:line="186" w:lineRule="exact"/>
        <w:rPr>
          <w:sz w:val="20"/>
          <w:szCs w:val="20"/>
          <w:color w:val="auto"/>
        </w:rPr>
      </w:pPr>
    </w:p>
    <w:p>
      <w:pPr>
        <w:ind w:left="4" w:right="60" w:firstLine="440"/>
        <w:spacing w:after="0" w:line="230"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share of Kodiak Series A Preferred Stock will be convertible into Kodiak Common Stock at any time at the option of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rate equal to the Accrued Value, divided by the then-applicable conversion price, plus any accrued but unpaid dividends on such share. The conversion price will initially be $12.00, subject to adjustments for stock dividends, splits, combinations and similar events and customary anti-dilution adjustments, including with respect to certain future issuances or sales of Kodiak Common Stock at prices less than the conversion price then in effect. In addition, if the trailing 45-day volume-weighted average price of Kodiak Common Stock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six months after the date of the Closing Date is less than the conversion price then in effect, the conversion price will be adjusted to the greater of (i) such volume weighted average price and (ii) $8.00. Further, if the trailing 45-day volume-weighted average price of Kodiak Common Stock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nine months after the Closing Date is less than the conversion price then in effect, the conversion price will be adjusted to the greater of (i) such volume weighted average price and (ii) $6.00.</w:t>
      </w:r>
    </w:p>
    <w:p>
      <w:pPr>
        <w:sectPr>
          <w:pgSz w:w="11900" w:h="16838" w:orient="portrait"/>
          <w:cols w:equalWidth="0" w:num="1">
            <w:col w:w="11024"/>
          </w:cols>
          <w:pgMar w:left="436" w:top="297" w:right="439" w:bottom="1440" w:gutter="0" w:footer="0" w:header="0"/>
        </w:sectPr>
      </w:pPr>
    </w:p>
    <w:bookmarkStart w:id="3" w:name="page4"/>
    <w:bookmarkEnd w:id="3"/>
    <w:p>
      <w:pPr>
        <w:ind w:right="3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Put Rights</w:t>
      </w:r>
      <w:r>
        <w:rPr>
          <w:rFonts w:ascii="Times New Roman" w:cs="Times New Roman" w:eastAsia="Times New Roman" w:hAnsi="Times New Roman"/>
          <w:sz w:val="18"/>
          <w:szCs w:val="18"/>
          <w:color w:val="auto"/>
        </w:rPr>
        <w:t>: Unless prohibited by applicable law governing distributions to stockholders, the Kodiak Series A Preferred Stock owned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requesting Holder (as defined in the Certificate of Designation) shall be redeemable at the option of the Holder commencing any time after the fifth anniversary of the Closing Date at a price equal to the Accrued Value plus accrued and unpaid dividends on such shares.</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Call Rights</w:t>
      </w:r>
      <w:r>
        <w:rPr>
          <w:rFonts w:ascii="Times New Roman" w:cs="Times New Roman" w:eastAsia="Times New Roman" w:hAnsi="Times New Roman"/>
          <w:sz w:val="18"/>
          <w:szCs w:val="18"/>
          <w:color w:val="auto"/>
        </w:rPr>
        <w:t>: Unless prohibited by applicable law governing distributions to stockholders, the Kodiak Series A Preferred Stock shall be redeemable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Kodiak commencing any time (i) prior to the first anniversary of the Closing Date at a price equal to the 150% of the Accrued Value plus accrued and unpaid dividends on such share; (ii) on or after the first anniversary but prior to the second anniversary of the Closing Date at a price equal to the 140% of the Accrued Value plus accrued and unpaid dividends on such share; (iii) on or after the second anniversary of the Closing Date but prior to the third anniversary of the Closing at a price equal to the 130% of the Accrued Value plus accrued and unpaid dividends on such share; (iv) on or after the third anniversary of the Closing Date but prior to the fourth anniversary of the Closing Date at a price equal to the 120% of the Accrued Value plus accrued and unpaid dividends on such share; (v) on or after the fourth anniversary of the Closing Date but prior to the fifth anniversary of the Closing Date at a price equal to the 110% of the Accrued Value plus accrued and unpaid dividends on such share; or (vi) on or after the fifth anniversary of the Closing Date at a price equal to the 100% of the Accrued Value plus accrued and unpaid dividends on such share.</w:t>
      </w:r>
    </w:p>
    <w:p>
      <w:pPr>
        <w:spacing w:after="0" w:line="188"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PIPE Warrants</w:t>
      </w:r>
      <w:r>
        <w:rPr>
          <w:rFonts w:ascii="Times New Roman" w:cs="Times New Roman" w:eastAsia="Times New Roman" w:hAnsi="Times New Roman"/>
          <w:sz w:val="18"/>
          <w:szCs w:val="18"/>
          <w:color w:val="auto"/>
        </w:rPr>
        <w:t>: At the closing of the Series A Preferred Investment, the Preferred Investor will receive PIPE Warrants to purchase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Kodiak Common Stock equal to 125% of the total number of shares of Kodiak Common Stock into which such Investor’s shares of Kodiak Series A Preferred Stock are convertible on the Closing Date. The PIPE Warrants will be immediately exercisable upon issuance at Closing and will expire six years from the Closing Date. The PIPE Warrants include customary cash and cashless exercise provisions. Each Warrant is initially exercisable at $12.00 per share of Kodiak Common Stock, which exercise price is subject to the same anti-dilution and other adjustments as the conversion price of the Kodiak Series A Preferred Stock. The PIPE Warrants also provide for certain customary registration rights with respect to the shares of Kodiak Common Stock underlying the PIPE Warrants.</w:t>
      </w:r>
    </w:p>
    <w:p>
      <w:pPr>
        <w:spacing w:after="0" w:line="185"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The foregoing description of the Series A Preferred Investment is subject to and qualified in its entirety by reference to (i) the full text of the form of Subscription Agreement, a copy of which is included as Exhibit 10.1 to this Current Report on Form 8-K (this “</w:t>
      </w:r>
      <w:r>
        <w:rPr>
          <w:rFonts w:ascii="Times New Roman" w:cs="Times New Roman" w:eastAsia="Times New Roman" w:hAnsi="Times New Roman"/>
          <w:sz w:val="17"/>
          <w:szCs w:val="17"/>
          <w:u w:val="single" w:color="auto"/>
          <w:color w:val="auto"/>
        </w:rPr>
        <w:t>Current Report</w:t>
      </w:r>
      <w:r>
        <w:rPr>
          <w:rFonts w:ascii="Times New Roman" w:cs="Times New Roman" w:eastAsia="Times New Roman" w:hAnsi="Times New Roman"/>
          <w:sz w:val="17"/>
          <w:szCs w:val="17"/>
          <w:color w:val="auto"/>
        </w:rPr>
        <w:t>”); (ii) the full text of the form of Certificate of Designation, a copy of which is attached as Exhibit 3.1 to this Current Report; and (iii) the full text of the form Warrant Certificate, a copy of the form of which is attached as Exhibit 4.1 to this Current Report, and the terms of each are incorporated herein by reference.</w:t>
      </w:r>
    </w:p>
    <w:p>
      <w:pPr>
        <w:spacing w:after="0" w:line="30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with respect to the Series A Preferred Investment is incorporated by reference in this Current Report. The shares and warrants to be offered and sold in connection with the Series A Preferred Investment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reliance on the exemption from registration provided by Section 4(a)(2) of the Securities Act and/or Regulation D promulgated under the Securities Act.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is issued in accordance with Rule 135c under the Securities Act, and is neither an offer to sell any securities, nor a solicitation of an offer to buy, nor shall there be any sale of any such securities in any state or jurisdiction in which such offer, solicitation or sale would be unlawful prior to registration or qualification under the securities laws of any such state or jurisdiction.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On September 15, 2025, AACT and Kodiak issued a joint press release announcing the Series A Preferred Investment. The press release is furnished as Exhibit 99.1 and incorporated by reference into this Item 7.01.</w:t>
      </w:r>
    </w:p>
    <w:p>
      <w:pPr>
        <w:sectPr>
          <w:pgSz w:w="11900" w:h="16838" w:orient="portrait"/>
          <w:cols w:equalWidth="0" w:num="1">
            <w:col w:w="11000"/>
          </w:cols>
          <w:pgMar w:left="440" w:top="295" w:right="459" w:bottom="1440" w:gutter="0" w:footer="0" w:header="0"/>
        </w:sectPr>
      </w:pPr>
    </w:p>
    <w:bookmarkStart w:id="4" w:name="page5"/>
    <w:bookmarkEnd w:id="4"/>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(including Exhibit 99.1) is being furnished pursuant to Item 7.01 and will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be subject to the liabilities of that section, nor will it be deemed to be incorporated by reference in any filing under the Securities Act or the Exchange Act.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On August 29, 2025, AACT filed a definitive proxy statement/prospectus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for the solicitation of proxies in connection with an extraordinary general meeting of AACT’s shareholders scheduled to be held on September 23, 2025 at 9:00 a.m. Eastern Time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xml:space="preserve">”), to vote upon, among other things, a proposal to adopt and approve the transactions contemplated by the proposed business combination. The Extraordinary General Meeting will be held in person at the offices Kirkland &amp; Ellis LLP located at 601 Lexington Avenue, New York, New York 10022 and virtually via live webcast at </w:t>
      </w:r>
      <w:r>
        <w:rPr>
          <w:rFonts w:ascii="Times New Roman" w:cs="Times New Roman" w:eastAsia="Times New Roman" w:hAnsi="Times New Roman"/>
          <w:sz w:val="18"/>
          <w:szCs w:val="18"/>
          <w:u w:val="single" w:color="auto"/>
          <w:color w:val="auto"/>
        </w:rPr>
        <w:t>https://www.cstproxy.com/aresacquisitioncorporationii/egm2025</w:t>
      </w:r>
      <w:r>
        <w:rPr>
          <w:rFonts w:ascii="Times New Roman" w:cs="Times New Roman" w:eastAsia="Times New Roman" w:hAnsi="Times New Roman"/>
          <w:sz w:val="18"/>
          <w:szCs w:val="18"/>
          <w:color w:val="auto"/>
        </w:rPr>
        <w:t>. For purposes of this Item 8.01, capitalized terms used but not defined in this Current Report shall have the meanings given to such terms in the proxy statement/prospectus. In addition, other than as modified by the information presented in this Current Report, this Item 8.01 reflects the qualifications, estimates and assumptions set forth in the proxy statement/prospectus. The information presented in this Current Report updates and supersedes the proxy statement/prospectus in all respects. For the avoidance of doubt, in the event of any discrepancy between the information presented in this Current Report and the proxy statement/prospectus, this information presented in this Current Report shall prevail.</w:t>
      </w:r>
    </w:p>
    <w:p>
      <w:pPr>
        <w:spacing w:after="0" w:line="194" w:lineRule="exact"/>
        <w:rPr>
          <w:sz w:val="20"/>
          <w:szCs w:val="20"/>
          <w:color w:val="auto"/>
        </w:rPr>
      </w:pPr>
    </w:p>
    <w:p>
      <w:pPr>
        <w:ind w:right="360" w:firstLine="440"/>
        <w:spacing w:after="0" w:line="257" w:lineRule="auto"/>
        <w:rPr>
          <w:sz w:val="20"/>
          <w:szCs w:val="20"/>
          <w:color w:val="auto"/>
        </w:rPr>
      </w:pPr>
      <w:r>
        <w:rPr>
          <w:rFonts w:ascii="Times New Roman" w:cs="Times New Roman" w:eastAsia="Times New Roman" w:hAnsi="Times New Roman"/>
          <w:sz w:val="18"/>
          <w:szCs w:val="18"/>
          <w:color w:val="auto"/>
        </w:rPr>
        <w:t>The Stock Issuance Proposal of the proxy statement/prospectus is hereby updated to disclose the potential issuance of Kodiak Common Stock following conversion of the Kodiak Series A Preferred Stock and exercise of the PIPE Warrants. Upon the Closing, AACT expects to (i) issue 877,963 shares of Kodiak Common Stock to the PIPE Investors pursuant to the PIPE Subscription Agreements currently in effect; (ii) issue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142,157 shares of Kodiak Series A Preferred Stock, which will be immediately exercisable into 14,215,700 shares of Kodiak Common Stock, and 17,769,625 PIPE Warrants to the Preferred Investors pursuant to the Subscription Agreements; and (iii) issue or reserve for issuance up to an estimated 294,490,781 shares of Kodiak Common Stock to the Legacy Kodiak Securityholders in connection with the proposed business combination. Kodiak and AACT may opportunistically seek additional capital in connection with or following the consummation of the proposed business combination to provide additional support for the Kodiak’s operating plan. As a result, Kodiak may issue additional Kodiak Common Stock or securities convertible into or exercisable for Kodiak Common Stock or other securities pursuant to subscription, purchase or similar agreements AACT may enter into prior to Closing.</w:t>
      </w:r>
    </w:p>
    <w:p>
      <w:pPr>
        <w:spacing w:after="0" w:line="18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Series A Preferred Investment, Legacy Kodiak and AACT entered into a certain acknowledgement and agreement dated September 15, 2025 (the “</w:t>
      </w:r>
      <w:r>
        <w:rPr>
          <w:rFonts w:ascii="Times New Roman" w:cs="Times New Roman" w:eastAsia="Times New Roman" w:hAnsi="Times New Roman"/>
          <w:sz w:val="18"/>
          <w:szCs w:val="18"/>
          <w:u w:val="single" w:color="auto"/>
          <w:color w:val="auto"/>
        </w:rPr>
        <w:t>Second Lien Conversion Price Acknowledgement</w:t>
      </w:r>
      <w:r>
        <w:rPr>
          <w:rFonts w:ascii="Times New Roman" w:cs="Times New Roman" w:eastAsia="Times New Roman" w:hAnsi="Times New Roman"/>
          <w:sz w:val="18"/>
          <w:szCs w:val="18"/>
          <w:color w:val="auto"/>
        </w:rPr>
        <w:t>”) pursuant to which Legacy Kodiak and AACT determined that for purposes of the Second Lien Loan and Security Agreement, as of September 15, 2025, the current conversion price of the Second Lien Loan for purposes of its conversion to shares of Kodiak Common Stock in connection with the closing of the proposed business combination shall be equal to $6.00. At the Sponsor Affiliate Investor’s option, the Exchanged SAFE Loan and any Sponsor Affiliate Delayed Draw Loans are convertible into Second Lien Conversion Shares prior to Closing and subsequently into shares of Kodiak Common Stock at the same conversion price as the other Second Lien Loans. Assuming full conversion of all Second Lien Loans held by the Sponsor Affiliate Investor under the Second Lien Loan and Security Agreement into shares of Kodiak Common Stock at a price based on the Second Lien Conversion Price (including accrued and unpaid interest through August 18, 2025, and based upon the closing price of the AACT Class A Ordinary Shares of $11.39 on the New York Stock Exchange (“NYSE”) on August 18, 2025, and excluding the Exchanged SAFE Loan, any Sponsor Affiliate Delayed Draw Loans and any Sponsor Affiliate Delayed Draw Warrants), the Sponsor Affiliate Investor would receive upon Closing 3,531,854 shares of Kodiak Common Stock, with an implied aggregate market value of approximately $40.2 million. Additionally, an officer of AACT and a vehicle owned by certain Ares employees and in which an officer and director of AACT is invested would receive upon Closing an aggregate of 2,074,549 shares of Kodiak Common Stock with an aggregate market value of approximately $23.6 million based upon the closing price of $11.39 per AACT Class A Ordinary Share on the NYSE on August 18, 2025. The foregoing description of the Second Lien Conversion Price Acknowledgement is subject to and qualified in its entirety by reference to the full text of the Second Lien Conversion Price Acknowledgement, a copy of which is included as Exhibit 10.2 to this Current Report and the terms of therein are incorporated herein by reference.</w:t>
      </w:r>
    </w:p>
    <w:p>
      <w:pPr>
        <w:sectPr>
          <w:pgSz w:w="11900" w:h="16838" w:orient="portrait"/>
          <w:cols w:equalWidth="0" w:num="1">
            <w:col w:w="11000"/>
          </w:cols>
          <w:pgMar w:left="440" w:top="297"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Sources and Uses of Funds for the Business Combination</w:t>
      </w:r>
    </w:p>
    <w:p>
      <w:pPr>
        <w:spacing w:after="0" w:line="121"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tables summarize sources and uses for funding the proposed business combination, reflecting incremental funds committed as of the date of this Current Report pursuant to the Subscription Agreements. The first table assumes that no Public Shareholders exercise redemption rights. The second table assumes that Public Shareholders exercise their redemption rights with respect to 49,359,712 Class A Shares, representing the maximum amount of Public Shares that can be redeemed. Each table assumes that the Series A Preferred Investment and the PIPE Investment are satisfied by cash payments from the applicable investors. Where actual amounts are not known or knowable, the figures below represent AACT’s and Legacy Kodiak’s good faith estimates based on the assumptions set forth in the notes to the tables. If the actual facts are different from these assumptions, actual amounts will be different from those below.</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Estimated Sources and Uses (No Redemption Scenario)</w:t>
      </w:r>
    </w:p>
    <w:p>
      <w:pPr>
        <w:spacing w:after="0" w:line="304"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Uses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100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AACT’s Cash-in-Trust</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PIPE Investment and Series A Preferred Stock</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(5)</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line="216" w:lineRule="exact"/>
              <w:rPr>
                <w:sz w:val="20"/>
                <w:szCs w:val="20"/>
                <w:color w:val="auto"/>
              </w:rPr>
            </w:pPr>
            <w:r>
              <w:rPr>
                <w:rFonts w:ascii="Times New Roman" w:cs="Times New Roman" w:eastAsia="Times New Roman" w:hAnsi="Times New Roman"/>
                <w:sz w:val="17"/>
                <w:szCs w:val="17"/>
                <w:color w:val="auto"/>
              </w:rPr>
              <w:t>Investment</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Legacy Kodiak Equity Rollover</w:t>
            </w:r>
            <w:r>
              <w:rPr>
                <w:rFonts w:ascii="Times New Roman" w:cs="Times New Roman" w:eastAsia="Times New Roman" w:hAnsi="Times New Roman"/>
                <w:sz w:val="22"/>
                <w:szCs w:val="22"/>
                <w:color w:val="auto"/>
                <w:vertAlign w:val="superscript"/>
              </w:rPr>
              <w:t>(4)</w:t>
            </w: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2,500</w:t>
            </w:r>
          </w:p>
        </w:tc>
        <w:tc>
          <w:tcPr>
            <w:tcW w:w="34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Uses</w:t>
            </w:r>
          </w:p>
        </w:tc>
        <w:tc>
          <w:tcPr>
            <w:tcW w:w="1260" w:type="dxa"/>
            <w:vAlign w:val="bottom"/>
            <w:gridSpan w:val="2"/>
            <w:shd w:val="clear" w:color="auto" w:fill="CCEEFF"/>
          </w:tcPr>
          <w:p>
            <w:pPr>
              <w:ind w:left="10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tcBorders>
              <w:bottom w:val="single" w:sz="8" w:color="CCEEFF"/>
            </w:tcBorders>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Total Sources</w:t>
            </w:r>
          </w:p>
        </w:tc>
        <w:tc>
          <w:tcPr>
            <w:tcW w:w="280" w:type="dxa"/>
            <w:vAlign w:val="bottom"/>
            <w:tcBorders>
              <w:bottom w:val="single" w:sz="8" w:color="CCEEFF"/>
            </w:tcBorders>
            <w:vMerge w:val="restart"/>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gridSpan w:val="2"/>
            <w:vMerge w:val="restart"/>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8"/>
                <w:szCs w:val="18"/>
                <w:b w:val="1"/>
                <w:bCs w:val="1"/>
                <w:color w:val="auto"/>
              </w:rPr>
              <w:t>3,288</w:t>
            </w: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3"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total cash in trust as of August 18, 2025.</w:t>
      </w:r>
    </w:p>
    <w:p>
      <w:pPr>
        <w:spacing w:after="0" w:line="27"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completion of a $155.0 million of PIPE Investment and Series A Preferred Investment consisting of: (i) $10.0 million of Kodiak Common Stock priced at the Redemption Price per share; and (ii) $145.0 million of Kodiak Series A Preferred Stock priced at $1,200 per share.</w:t>
      </w:r>
    </w:p>
    <w:p>
      <w:pPr>
        <w:ind w:left="424" w:right="4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50% or 6,250,000 of the Sponsor’s 12,500,000 Converted AACT Class A Shares, which are Sponsor Earn Out Securities subject to vesting upon the occurrence of Triggering Event I during the Earn Out Period.</w:t>
      </w:r>
    </w:p>
    <w:p>
      <w:pPr>
        <w:ind w:left="424" w:right="2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55,296,720 shares of Legacy Kodiak Common Stock underlying Legacy Kodiak Options, which will automatically convert, on a one-for-one basis, into Exchanged Kodiak Options at Closing, as it is expected that all such Exchanged Kodiak Options will have an exercise price less than the Redemption Price and therefore AACT and Legacy Kodiak believe it is probable that the holders of such options will choose to exercise such Legacy Kodiak Options; (ii) 30,224,689 shares issuable upon conversion of all SAFEs and 7,556,024 shares issuable upon conversion of all Second Lien Loans (excluding the Exchanged SAFE Loan) into shares of Legacy Kodiak Common Stock immediately prior to the Closing; and (iii) 1,576,432 shares of Kodiak Common Stock issuable in respect of certain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(i) 1,765,927 shares of Kodiak Common Stock issuable upon conversion of the Exchanged SAFE Loan; (ii) 75,000,000 Earn Out Securities that Legacy Kodiak Securityholders will be eligible to receive upon achievement of certain milestones during the Earn Out Period and, in the case of the Earn Out RSUs, satisfaction of certain service-based vesting requirements; (iii) 568,074 shares of Kodiak Common Stock underlying Legacy Kodiak Warrants that will be assumed and become Assumed Kodiak Warrants at Closing and (iv) 3,528,887 shares of Kodiak Common Stock issuable assuming (x) all $20.0 million of Sponsor Affiliate Delayed Draw Loans and $1 million of Sponsor Affiliate Delayed Draw Warrants are issued, (y) all Sponsor Affiliate Delayed Draw Loans are converted into Second Lien Conversion Shares and (z) all Sponsor Affiliate Delayed Draw Warrants are net exercised for Legacy Kodiak Series B-2 Preferred Stock immediately prior to Closing. The number of shares of Kodiak Common Stock ultimately received upon conversion of any Sponsor Affiliate Delayed Draw Loans shall be based on the Second Lien Conversion Price. Numbers may not tie due to rounding.</w:t>
      </w:r>
    </w:p>
    <w:p>
      <w:pPr>
        <w:spacing w:after="0" w:line="6" w:lineRule="exact"/>
        <w:rPr>
          <w:rFonts w:ascii="Times New Roman" w:cs="Times New Roman" w:eastAsia="Times New Roman" w:hAnsi="Times New Roman"/>
          <w:sz w:val="18"/>
          <w:szCs w:val="18"/>
          <w:color w:val="auto"/>
        </w:rPr>
      </w:pPr>
    </w:p>
    <w:p>
      <w:pPr>
        <w:ind w:left="424" w:right="68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of cash will vary depending on, among other things, actual fees and expenses incurred in connection with the Business Combination and whether Kodiak determines to repay any existing indebtedness upon the Closing.</w:t>
      </w:r>
    </w:p>
    <w:p>
      <w:pPr>
        <w:ind w:left="424" w:right="50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transaction fees and expenses, the actual amount of which will vary depending on actual fees and expenses incurred in connection with the Business Combination. Excludes $12.5 million of fees payable to an advisor of Legacy Kodiak, which we expect to be satisfied by the issuance of shares of Kodiak Common Stock.</w:t>
      </w:r>
    </w:p>
    <w:p>
      <w:pPr>
        <w:sectPr>
          <w:pgSz w:w="11900" w:h="16838" w:orient="portrait"/>
          <w:cols w:equalWidth="0" w:num="1">
            <w:col w:w="11024"/>
          </w:cols>
          <w:pgMar w:left="436" w:top="293"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Estimated Sources and Uses (Maximum Redemption Scenario)</w:t>
      </w:r>
    </w:p>
    <w:p>
      <w:pPr>
        <w:spacing w:after="0" w:line="304"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Uses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100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AACT’s Cash-in-Trust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PIPE Investment and Series A Preferred Stock</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(4)</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line="216" w:lineRule="exact"/>
              <w:rPr>
                <w:sz w:val="20"/>
                <w:szCs w:val="20"/>
                <w:color w:val="auto"/>
              </w:rPr>
            </w:pPr>
            <w:r>
              <w:rPr>
                <w:rFonts w:ascii="Times New Roman" w:cs="Times New Roman" w:eastAsia="Times New Roman" w:hAnsi="Times New Roman"/>
                <w:sz w:val="17"/>
                <w:szCs w:val="17"/>
                <w:color w:val="auto"/>
              </w:rPr>
              <w:t>Investment</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(5)</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Legacy Kodiak Equity Rollover</w:t>
            </w:r>
            <w:r>
              <w:rPr>
                <w:rFonts w:ascii="Times New Roman" w:cs="Times New Roman" w:eastAsia="Times New Roman" w:hAnsi="Times New Roman"/>
                <w:sz w:val="22"/>
                <w:szCs w:val="22"/>
                <w:color w:val="auto"/>
                <w:vertAlign w:val="superscript"/>
              </w:rPr>
              <w:t>(3)</w:t>
            </w: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2,500</w:t>
            </w:r>
          </w:p>
        </w:tc>
        <w:tc>
          <w:tcPr>
            <w:tcW w:w="34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Uses</w:t>
            </w:r>
          </w:p>
        </w:tc>
        <w:tc>
          <w:tcPr>
            <w:tcW w:w="1260" w:type="dxa"/>
            <w:vAlign w:val="bottom"/>
            <w:gridSpan w:val="2"/>
            <w:shd w:val="clear" w:color="auto" w:fill="CCEEFF"/>
          </w:tcPr>
          <w:p>
            <w:pPr>
              <w:ind w:left="10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tcBorders>
              <w:bottom w:val="single" w:sz="8" w:color="CCEEFF"/>
            </w:tcBorders>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Total Sources</w:t>
            </w:r>
          </w:p>
        </w:tc>
        <w:tc>
          <w:tcPr>
            <w:tcW w:w="280" w:type="dxa"/>
            <w:vAlign w:val="bottom"/>
            <w:tcBorders>
              <w:bottom w:val="single" w:sz="8" w:color="CCEEFF"/>
            </w:tcBorders>
            <w:vMerge w:val="restart"/>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gridSpan w:val="2"/>
            <w:vMerge w:val="restart"/>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8"/>
                <w:szCs w:val="18"/>
                <w:b w:val="1"/>
                <w:bCs w:val="1"/>
                <w:color w:val="auto"/>
              </w:rPr>
              <w:t>2,726</w:t>
            </w: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3" w:lineRule="exact"/>
        <w:rPr>
          <w:sz w:val="20"/>
          <w:szCs w:val="20"/>
          <w:color w:val="auto"/>
        </w:rPr>
      </w:pPr>
    </w:p>
    <w:p>
      <w:pPr>
        <w:jc w:val="both"/>
        <w:ind w:left="424" w:right="220" w:hanging="424"/>
        <w:spacing w:after="0" w:line="276"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completion of a $155.0 million of PIPE Investment and Series A Preferred Stock Investment consisting of: (i) $10.0 million of Kodiak Common Stock priced at the Redemption Price per share; and (ii) $145.0 million of Kodiak Series A Preferred Stock priced at $1,200 per share.</w:t>
      </w:r>
    </w:p>
    <w:p>
      <w:pPr>
        <w:ind w:left="424" w:right="4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50% or 6,250,000 of the Sponsor’s 12,500,000 Converted AACT Class A Shares, which are Sponsor Earn Out Securities subject to vesting upon the occurrence of Triggering Event I during the Earn Out Period.</w:t>
      </w:r>
    </w:p>
    <w:p>
      <w:pPr>
        <w:ind w:left="424" w:right="2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55,296,720 shares of Legacy Kodiak Common Stock underlying Legacy Kodiak Options, which will automatically convert, on a one-for-one basis, into Exchanged Kodiak Options at Closing, as it is expected that all such Exchanged Kodiak Options will have an exercise price less than the Redemption Price and therefore AACT and Legacy Kodiak believe it is probable that the holders of such options will choose to exercise such Legacy Kodiak Options; (ii) 30,224,689 shares issuable upon conversion of all SAFEs and 7,556,024 shares issuable upon conversion of all Second Lien Loans (excluding the Exchanged SAFE Loan) into shares of Legacy Kodiak Common Stock immediately prior to the Closing; and (iii) 1,576,432 shares of Kodiak Common Stock issuable in respect of certain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(i) 1,765,927 shares of Kodiak Common Stock issuable upon conversion of the Exchanged SAFE Loan; (ii) 75,000,000 Earn Out Securities that Legacy Kodiak Securityholders will be eligible to receive upon achievement of certain milestones during the Earn Out Period and, in the case of the Earn Out RSUs, satisfaction of certain service-based vesting requirements; (iii) 568,074 shares of Kodiak Common Stock underlying Legacy Kodiak Warrants that will be assumed and become Assumed Kodiak Warrants at Closing and (iv) 3,528,887 shares of Kodiak Common Stock issuable assuming (x) all $20.0 million of Sponsor Affiliate Delayed Draw Loans and $1 million of Sponsor Affiliate Delayed Draw Warrants are issued, (y) all Sponsor Affiliate Delayed Draw Loans are converted into Second Lien Conversion Shares and (z) all Sponsor Affiliate Delayed Draw Warrants are net exercised for Legacy Kodiak Series B-2 Preferred Stock immediately prior to Closing. The number of shares of Kodiak Common Stock ultimately received upon conversion of any Sponsor Affiliate Delayed Draw Loans shall be based on the Second Lien Conversion Price. Numbers may not tie due to rounding.</w:t>
      </w:r>
    </w:p>
    <w:p>
      <w:pPr>
        <w:spacing w:after="0" w:line="6" w:lineRule="exact"/>
        <w:rPr>
          <w:rFonts w:ascii="Times New Roman" w:cs="Times New Roman" w:eastAsia="Times New Roman" w:hAnsi="Times New Roman"/>
          <w:sz w:val="18"/>
          <w:szCs w:val="18"/>
          <w:color w:val="auto"/>
        </w:rPr>
      </w:pPr>
    </w:p>
    <w:p>
      <w:pPr>
        <w:ind w:left="424" w:right="68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of cash will vary depending on, among other things, actual fees and expenses incurred in connection with the Business Combination and whether Kodiak determines to repay any existing indebtedness upon the Closing.</w:t>
      </w:r>
    </w:p>
    <w:p>
      <w:pPr>
        <w:ind w:left="424" w:right="50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transaction fees and expenses, the actual amount of which will vary depending on actual fees and expenses incurred in connection with the Business Combination. Excludes $12.5 million of fees payable to an advisor of Legacy Kodiak, which we expect to be satisfied by the issuance of shares of Kodiak Common Stock.</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Equity Ownership Upon Closing of the Business Combination Assuming the Completion of the Series A Preferred Investment</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As of August 18, 2025, there were 49,359,712 Public Shares issued and outstanding that may be redeemed in connection with the Extraordinary General Meeting, and 12,500,000 shares of non-redeemable Class A Shares issued and outstanding. In addition, as of August 18, 2025, there were 39,300,000 AACT Warrants issued and outstanding, consisting of 25,000,000 Public Warrants and 14,300,000 Private Placement Warrants. Each AACT Warrant is each exercisable for one Class A Share (or, following the Domestication, one share of Kodiak Common Stock).</w:t>
      </w:r>
    </w:p>
    <w:p>
      <w:pPr>
        <w:spacing w:after="0" w:line="180"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AACT cannot predict how many Public Shares will be redeemed. As a result, AACT is presenting three different redemption scenarios with respect to Class A Shares, each of which presents a different allocation of total Kodiak equity following the Closing. To illustrate potential dilution in each such scenario, the tables below present the post-Closing share ownership of Kodiak under each of: (i) the No Redemption Scenario; (ii) the 50% Redemption Scenario; and (iii) the Maximum Redemption Scenario.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first table excludes the dilutive effect of: (i) the Earn Out Securities; (ii) the Sponsor Earn Out Securities; (iii) the Private Placement Warrants;</w:t>
      </w:r>
    </w:p>
    <w:p>
      <w:pPr>
        <w:spacing w:after="0" w:line="39" w:lineRule="exact"/>
        <w:rPr>
          <w:sz w:val="20"/>
          <w:szCs w:val="20"/>
          <w:color w:val="auto"/>
        </w:rPr>
      </w:pPr>
    </w:p>
    <w:p>
      <w:pPr>
        <w:ind w:left="4" w:right="120" w:hanging="4"/>
        <w:spacing w:after="0" w:line="255"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Warrants; (v) the Kodiak Warrants into which the Working Capital Loans can be converted; (vi) the Kodiak Warrants into which the Overfunding Loans can be converted; (vii) the Assumed Kodiak Warrants; and (viii) the PIPE Warrants. The second table includes the dilutive effect of such items.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26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 Redemption Scenario</w:t>
            </w:r>
            <w:r>
              <w:rPr>
                <w:rFonts w:ascii="Times New Roman" w:cs="Times New Roman" w:eastAsia="Times New Roman" w:hAnsi="Times New Roman"/>
                <w:sz w:val="10"/>
                <w:szCs w:val="10"/>
                <w:b w:val="1"/>
                <w:bCs w:val="1"/>
                <w:color w:val="auto"/>
              </w:rPr>
              <w:t>(1)</w:t>
            </w:r>
          </w:p>
        </w:tc>
        <w:tc>
          <w:tcPr>
            <w:tcW w:w="228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50% Redemption Scenario</w:t>
            </w:r>
            <w:r>
              <w:rPr>
                <w:rFonts w:ascii="Times New Roman" w:cs="Times New Roman" w:eastAsia="Times New Roman" w:hAnsi="Times New Roman"/>
                <w:sz w:val="10"/>
                <w:szCs w:val="10"/>
                <w:b w:val="1"/>
                <w:bCs w:val="1"/>
                <w:color w:val="auto"/>
              </w:rPr>
              <w:t>(1)</w:t>
            </w:r>
          </w:p>
        </w:tc>
        <w:tc>
          <w:tcPr>
            <w:tcW w:w="21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21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00" w:type="dxa"/>
            <w:vAlign w:val="bottom"/>
          </w:tcPr>
          <w:p>
            <w:pPr>
              <w:spacing w:after="0"/>
              <w:rPr>
                <w:sz w:val="10"/>
                <w:szCs w:val="10"/>
                <w:color w:val="auto"/>
              </w:rPr>
            </w:pPr>
          </w:p>
        </w:tc>
        <w:tc>
          <w:tcPr>
            <w:tcW w:w="1180" w:type="dxa"/>
            <w:vAlign w:val="bottom"/>
            <w:tcBorders>
              <w:top w:val="single" w:sz="8" w:color="auto"/>
            </w:tcBorders>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6,250,000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Securityholders</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218,922,707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75.3%</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218,922,707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218,922,707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Investors</w:t>
            </w:r>
            <w:r>
              <w:rPr>
                <w:rFonts w:ascii="Times New Roman" w:cs="Times New Roman" w:eastAsia="Times New Roman" w:hAnsi="Times New Roman"/>
                <w:sz w:val="25"/>
                <w:szCs w:val="25"/>
                <w:color w:val="auto"/>
                <w:vertAlign w:val="superscript"/>
              </w:rPr>
              <w:t>(4)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877,963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877,963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877,963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Preferred Investors</w:t>
            </w:r>
            <w:r>
              <w:rPr>
                <w:rFonts w:ascii="Times New Roman" w:cs="Times New Roman" w:eastAsia="Times New Roman" w:hAnsi="Times New Roman"/>
                <w:sz w:val="25"/>
                <w:szCs w:val="25"/>
                <w:color w:val="auto"/>
                <w:vertAlign w:val="superscript"/>
              </w:rPr>
              <w:t>(12)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14,215,700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14,215,700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14,215,700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Advisor</w:t>
            </w:r>
            <w:r>
              <w:rPr>
                <w:rFonts w:ascii="Times New Roman" w:cs="Times New Roman" w:eastAsia="Times New Roman" w:hAnsi="Times New Roman"/>
                <w:sz w:val="25"/>
                <w:szCs w:val="25"/>
                <w:color w:val="auto"/>
                <w:vertAlign w:val="superscript"/>
              </w:rPr>
              <w:t>(5)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1,097,453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1,097,453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1,097,453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4"/>
        </w:trPr>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shares of Kodiak Common Stock outstanding at</w:t>
            </w: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290,723,535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266,043,679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241,363,823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93"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26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 Redemption Scenario</w:t>
            </w:r>
            <w:r>
              <w:rPr>
                <w:rFonts w:ascii="Times New Roman" w:cs="Times New Roman" w:eastAsia="Times New Roman" w:hAnsi="Times New Roman"/>
                <w:sz w:val="10"/>
                <w:szCs w:val="10"/>
                <w:b w:val="1"/>
                <w:bCs w:val="1"/>
                <w:color w:val="auto"/>
              </w:rPr>
              <w:t>(1)</w:t>
            </w:r>
          </w:p>
        </w:tc>
        <w:tc>
          <w:tcPr>
            <w:tcW w:w="228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50% Redemption Scenario</w:t>
            </w:r>
            <w:r>
              <w:rPr>
                <w:rFonts w:ascii="Times New Roman" w:cs="Times New Roman" w:eastAsia="Times New Roman" w:hAnsi="Times New Roman"/>
                <w:sz w:val="10"/>
                <w:szCs w:val="10"/>
                <w:b w:val="1"/>
                <w:bCs w:val="1"/>
                <w:color w:val="auto"/>
              </w:rPr>
              <w:t>(1)</w:t>
            </w:r>
          </w:p>
        </w:tc>
        <w:tc>
          <w:tcPr>
            <w:tcW w:w="21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210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00" w:type="dxa"/>
            <w:vAlign w:val="bottom"/>
          </w:tcPr>
          <w:p>
            <w:pPr>
              <w:spacing w:after="0"/>
              <w:rPr>
                <w:sz w:val="10"/>
                <w:szCs w:val="10"/>
                <w:color w:val="auto"/>
              </w:rPr>
            </w:pPr>
          </w:p>
        </w:tc>
        <w:tc>
          <w:tcPr>
            <w:tcW w:w="1180" w:type="dxa"/>
            <w:vAlign w:val="bottom"/>
            <w:tcBorders>
              <w:top w:val="single" w:sz="8" w:color="auto"/>
            </w:tcBorders>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Public Warrant Holders</w:t>
            </w:r>
            <w:r>
              <w:rPr>
                <w:rFonts w:ascii="Times New Roman" w:cs="Times New Roman" w:eastAsia="Times New Roman" w:hAnsi="Times New Roman"/>
                <w:sz w:val="25"/>
                <w:szCs w:val="25"/>
                <w:color w:val="auto"/>
                <w:vertAlign w:val="superscript"/>
              </w:rPr>
              <w:t>(6)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6,250,000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Private Placement Warrant Holder</w:t>
            </w:r>
            <w:r>
              <w:rPr>
                <w:rFonts w:ascii="Times New Roman" w:cs="Times New Roman" w:eastAsia="Times New Roman" w:hAnsi="Times New Roman"/>
                <w:sz w:val="25"/>
                <w:szCs w:val="25"/>
                <w:color w:val="auto"/>
                <w:vertAlign w:val="superscript"/>
              </w:rPr>
              <w:t>(6)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14,300,000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14,300,000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Securityholders</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218,922,707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218,922,707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218,922,707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Sponsor Earn Out Securities</w:t>
            </w:r>
            <w:r>
              <w:rPr>
                <w:rFonts w:ascii="Times New Roman" w:cs="Times New Roman" w:eastAsia="Times New Roman" w:hAnsi="Times New Roman"/>
                <w:sz w:val="25"/>
                <w:szCs w:val="25"/>
                <w:color w:val="auto"/>
                <w:vertAlign w:val="superscript"/>
              </w:rPr>
              <w:t>(7)</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6,250,000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Earn Out Securities</w:t>
            </w:r>
            <w:r>
              <w:rPr>
                <w:rFonts w:ascii="Times New Roman" w:cs="Times New Roman" w:eastAsia="Times New Roman" w:hAnsi="Times New Roman"/>
                <w:sz w:val="25"/>
                <w:szCs w:val="25"/>
                <w:color w:val="auto"/>
                <w:vertAlign w:val="superscript"/>
              </w:rPr>
              <w:t>(8)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75,000,000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Conversion of Working Capital Loan</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6"/>
                <w:szCs w:val="26"/>
                <w:color w:val="auto"/>
                <w:vertAlign w:val="superscript"/>
              </w:rPr>
              <w:t>(6)(9)</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1,232,707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1,232,707</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1,232,707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Conversion of Overfunding Loan</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6"/>
                <w:szCs w:val="26"/>
                <w:color w:val="auto"/>
                <w:vertAlign w:val="superscript"/>
              </w:rPr>
              <w:t>(6)(10)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Assumed Kodiak Warrants</w:t>
            </w:r>
            <w:r>
              <w:rPr>
                <w:rFonts w:ascii="Times New Roman" w:cs="Times New Roman" w:eastAsia="Times New Roman" w:hAnsi="Times New Roman"/>
                <w:sz w:val="25"/>
                <w:szCs w:val="25"/>
                <w:color w:val="auto"/>
                <w:vertAlign w:val="superscript"/>
              </w:rPr>
              <w:t>(11)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568,074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568,074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PIPE Investors</w:t>
            </w:r>
            <w:r>
              <w:rPr>
                <w:rFonts w:ascii="Times New Roman" w:cs="Times New Roman" w:eastAsia="Times New Roman" w:hAnsi="Times New Roman"/>
                <w:sz w:val="25"/>
                <w:szCs w:val="25"/>
                <w:color w:val="auto"/>
                <w:vertAlign w:val="superscript"/>
              </w:rPr>
              <w:t>(4)</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877,963</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877,963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877,963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Preferred Investors</w:t>
            </w:r>
            <w:r>
              <w:rPr>
                <w:rFonts w:ascii="Times New Roman" w:cs="Times New Roman" w:eastAsia="Times New Roman" w:hAnsi="Times New Roman"/>
                <w:sz w:val="25"/>
                <w:szCs w:val="25"/>
                <w:color w:val="auto"/>
                <w:vertAlign w:val="superscript"/>
              </w:rPr>
              <w:t>(12)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14,215,700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14,215,700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14,215,700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PIPE Warrants</w:t>
            </w:r>
            <w:r>
              <w:rPr>
                <w:rFonts w:ascii="Times New Roman" w:cs="Times New Roman" w:eastAsia="Times New Roman" w:hAnsi="Times New Roman"/>
                <w:sz w:val="25"/>
                <w:szCs w:val="25"/>
                <w:color w:val="auto"/>
                <w:vertAlign w:val="superscript"/>
              </w:rPr>
              <w:t>(13)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17,769,625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17,769,625</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17,769,625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Advisor</w:t>
            </w:r>
            <w:r>
              <w:rPr>
                <w:rFonts w:ascii="Times New Roman" w:cs="Times New Roman" w:eastAsia="Times New Roman" w:hAnsi="Times New Roman"/>
                <w:sz w:val="25"/>
                <w:szCs w:val="25"/>
                <w:color w:val="auto"/>
                <w:vertAlign w:val="superscript"/>
              </w:rPr>
              <w:t>(5)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1,097,453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1,097,453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1,097,453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Fully-Diluted Shares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435,843,941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411,164,085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386,484,229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sum to 100% due to rounding.</w:t>
      </w:r>
    </w:p>
    <w:p>
      <w:pPr>
        <w:spacing w:after="0" w:line="27" w:lineRule="exact"/>
        <w:rPr>
          <w:sz w:val="20"/>
          <w:szCs w:val="20"/>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presented under each redemption scenario is presented for illustrative purposes. AACT and Legacy Kodiak cannot predict how many Public Shares will be redeemed. As a result, the redemption amount and the number of Public Shares redeemed in connection with the Business Combination may differ from the amounts presented above. The ownership percentages of current AACT shareholders may also differ from the presentation above if the actual redemptions are different from these assumptions. Assumes a Redemption Price of $11.39, which was the approximate Redemption Price as of August 18, 2025.</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50% or 6,250,000 of the Sponsor’s 12,500,000 Converted Class A Shares, which are Sponsor Earn Out Securities subject to vesting upon the occurrence of Triggering Event I during the Earn Out Period.</w:t>
      </w: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55,296,720 shares of Legacy Kodiak Common Stock underlying Legacy Kodiak Options, which will automatically convert, on a one-for-one basis, into Exchanged Kodiak Options at Closing, as it is expected that all such Exchanged Kodiak Options will have an exercise price less than the Redemption Price and therefore AACT and Legacy Kodiak believe it is probable that the holders of such options will choose to exercise such Legacy Kodiak Options; (ii) 30,224,689 shares issuable upon conversion of all SAFEs and 7,556,024 shares issuable upon conversion of all Second Lien Loans (excluding the Exchanged SAFE Loan) into shares of Legacy Kodiak Common Stock immediately prior to the Closing; and (iii) 1,576,432 shares of Kodiak Common Stock issuable in respect of certain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(i) 1,765,927 shares of Kodiak Common Stock issuable upon conversion of the Exchanged SAFE Loan; (ii) 75,000,000 Earn Out Securities that Legacy Kodiak Securityholders will be eligible to receive upon achievement of certain milestones during the Earn Out Period and, in the case of the Earn Out RSUs, satisfaction of certain service-based vesting requirements; (iii) 568,074 shares of Kodiak Common Stock underlying Legacy Kodiak Warrants that will be assumed and become Assumed Kodiak Warrants at Closing and (iv) 3,528,887 shares of Kodiak Common Stock issuable assuming (x) all $20.0 million of Sponsor Affiliate Delayed Draw Loans and $1 million of Sponsor Affiliate Delayed Draw Warrants are issued, (y) all Sponsor Affiliate Delayed Draw Loans are converted into Second Lien Conversion Shares and (z) all Sponsor Affiliate Delayed Draw Warrants are net exercised for Legacy Kodiak Series B-2 Preferred Stock immediately prior to Closing. The number of shares of Kodiak Common Stock ultimately received upon conversion of any Sponsor Affiliate Delayed Draw Loans shall be based on the Second Lien Conversion Price. No Sponsor Affiliate Delayed Draw Loans or Sponsor Affiliate Delayed Draw Warrants have been issued as of the date of this filing. Numbers may not tie due to rounding.</w:t>
      </w:r>
    </w:p>
    <w:p>
      <w:pPr>
        <w:spacing w:after="0" w:line="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completion of a $10.0 million PIPE Investment that prices at the Redemption Price.</w:t>
      </w:r>
    </w:p>
    <w:p>
      <w:pPr>
        <w:spacing w:after="0" w:line="9" w:lineRule="exact"/>
        <w:rPr>
          <w:rFonts w:ascii="Times New Roman" w:cs="Times New Roman" w:eastAsia="Times New Roman" w:hAnsi="Times New Roman"/>
          <w:sz w:val="18"/>
          <w:szCs w:val="18"/>
          <w:color w:val="auto"/>
        </w:rPr>
      </w:pPr>
    </w:p>
    <w:p>
      <w:pPr>
        <w:ind w:left="424" w:right="5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Kodiak Common Stock to be issued at Closing to an advisor to Legacy Kodiak in a private placement in settlement of $12.5 million of fees payable to such adviser.</w:t>
      </w:r>
    </w:p>
    <w:p>
      <w:pPr>
        <w:ind w:left="424" w:right="2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upon the exercise of Kodiak Warrants. Kodiak Warrants will be exercisable beginning 30 days following the Closing for one share of Kodiak Common Stock at an exercise price of $11.50 per share in accordance with the terms of the warrants. Each redemption scenario assumes that all outstanding warrants are exercised for cash.</w:t>
      </w:r>
    </w:p>
    <w:p>
      <w:pPr>
        <w:spacing w:after="0" w:line="1" w:lineRule="exact"/>
        <w:rPr>
          <w:rFonts w:ascii="Times New Roman" w:cs="Times New Roman" w:eastAsia="Times New Roman" w:hAnsi="Times New Roman"/>
          <w:sz w:val="18"/>
          <w:szCs w:val="18"/>
          <w:color w:val="auto"/>
        </w:rPr>
      </w:pPr>
    </w:p>
    <w:p>
      <w:pPr>
        <w:ind w:left="424" w:right="760" w:hanging="424"/>
        <w:spacing w:after="0" w:line="26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6,250,000 shares of Kodiak Common Stock which are Sponsor Earn Out Securities subject to vesting upon the occurrence of Triggering Event I during the Earn Out Period.</w:t>
      </w:r>
    </w:p>
    <w:p>
      <w:pPr>
        <w:sectPr>
          <w:pgSz w:w="11900" w:h="16838" w:orient="portrait"/>
          <w:cols w:equalWidth="0" w:num="1">
            <w:col w:w="11024"/>
          </w:cols>
          <w:pgMar w:left="436" w:top="278" w:right="439" w:bottom="1440" w:gutter="0" w:footer="0" w:header="0"/>
        </w:sectPr>
      </w:pPr>
    </w:p>
    <w:bookmarkStart w:id="8" w:name="page9"/>
    <w:bookmarkEnd w:id="8"/>
    <w:p>
      <w:pPr>
        <w:jc w:val="both"/>
        <w:ind w:left="424" w:right="240"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Represents an aggregate of 75,000,000 Earn Out Securities that Legacy Kodiak Securityholders will be eligible to receive upon achievement of certain milestones during the Earn Out Period and, in the case of the Earn Out RSUs, satisfaction of certain service-based vesting requirements. 25,000,000 Earn Out Securities will vest or be issued upon the occurrence of Triggering Event I, 25,000,000 Earn Out Securities will vest or be issued upon the occurrence of Triggering Event II and 25,000,000 Earn Out Securities will vest or be issued upon the occurrence of Triggering Event III.</w:t>
      </w:r>
    </w:p>
    <w:p>
      <w:pPr>
        <w:spacing w:after="0" w:line="3"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Working Capital Loans are converted into Kodiak Warrants. The Working Capital Loans will, in the Sponsor’s discretion, either be repaid upon the Closing or converted into Kodiak Warrants at a price of $1.00 per warrant (or any combination of repayment or conversion). Any such warrants will be identical to the Private Placement Warrants.</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Overfunding Loans are converted into Kodiak Warrants. The Overfunding Loans will, in the Sponsor’s discretion, either be repaid upon the Closing or converted into Kodiak Warrants at a price of $1.00 per warrant (or any combination of repayment or conversion). Any such warrants will be identical to the Private Placement Warrants.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upon the exercise of the Assumed Kodiak Warrants at an exercise price of $2.17 per share.</w:t>
      </w:r>
    </w:p>
    <w:p>
      <w:pPr>
        <w:spacing w:after="0" w:line="9"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Series A Preferred Investment is satisfied by cash payments from the applicable investors and the full conversion to Kodiak Common Stock of a $145.0 million Series A Preferred Investment at the $12.00 initial conversion price at Closing. Excludes (i) dividends that will accrue on the Kodiak Series A Preferred Stock and (ii) any adjustments to the conversion price. While there are no mandatory conversion or redemption obligations in respect of the Kodiak Series A Preferred Stock, such shares are redeemable at either Kodiak or the investor’s option five years after the Closing Date at the Accrued Value plus accrued and unpaid dividends on such shares. Assuming (i) the investor holds the Kodiak Series A Preferred Stock for five years, and (ii) the conversion price of such Kodiak Series A Preferred Stock is reset to the floor price of $6.00, such Kodiak Series A Preferred Stock would be convertible into 46,289,706 shares of Kodiak Common Stock.</w:t>
      </w:r>
    </w:p>
    <w:p>
      <w:pPr>
        <w:spacing w:after="0" w:line="2" w:lineRule="exact"/>
        <w:rPr>
          <w:rFonts w:ascii="Times New Roman" w:cs="Times New Roman" w:eastAsia="Times New Roman" w:hAnsi="Times New Roman"/>
          <w:sz w:val="18"/>
          <w:szCs w:val="18"/>
          <w:color w:val="auto"/>
        </w:rPr>
      </w:pPr>
    </w:p>
    <w:p>
      <w:pPr>
        <w:ind w:left="424" w:right="160" w:hanging="424"/>
        <w:spacing w:after="0" w:line="25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Series A Preferred Investment is satisfied by cash payments from the applicable investors. Represents shares issuable upon the exercise of PIPE Warrants. Each PIPE Warrant will be exercisable immediately upon the Closing for one share of Kodiak Common Stock in accordance with the terms of the PIPE Warrants. Each redemption scenario assumes that all outstanding warrants are exercised for cash. In accordance with the terms of the PIPE Warrants, the exercise price will initially be $12.00, subject to adjustments for stock dividends, splits, combinations and similar events and customary anti-dilution adjustments, including with respect to future issuances or sales of Kodiak Common Stock at prices less than the exercise price then in effect. In addition, if the 45-day volume-weighted average price of Kodiak Common Stock on the 46th trading day following the date that is six months after the date of the Closing Date is less than the exercise price then in effect, the exercise price will be adjusted to the greater of (i) such volume weighted average price and (ii) $8.00. Further, if the 45-day volume-weighted average price of Kodiak Common Stock on the 46th trading day following the date that is nine months after the Closing Date is less than the exercise price then in effect, the exercise price will be adjusted to the greater of (i) such volume weighted average price and (ii) $6.00.</w:t>
      </w:r>
    </w:p>
    <w:p>
      <w:pPr>
        <w:spacing w:after="0" w:line="193"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of the Kodiak Series A Preferred Stock are converted to shares of Kodiak Common Stock or PIPE Warrants are exercised for shares of Kodiak Common Stock, AACT’s existing shareholders may experience dilution. Such dilution could, among other things, limit the ability of AACT’s current shareholders to influence Kodiak’s management through the election of directors following the Closing.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Partial Lockup Release</w:t>
      </w:r>
    </w:p>
    <w:p>
      <w:pPr>
        <w:spacing w:after="0" w:line="121" w:lineRule="exact"/>
        <w:rPr>
          <w:sz w:val="20"/>
          <w:szCs w:val="20"/>
          <w:color w:val="auto"/>
        </w:rPr>
      </w:pPr>
    </w:p>
    <w:p>
      <w:pPr>
        <w:ind w:left="4" w:right="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consummation of the proposed business combination, AACT and Kodiak determined to waive, effective upon the Closing, the restrictions set forth in Section 6.8 of the Proposed Bylaws, in respect of such number of shares of Kodiak Common Stock equal to $2,500, calculated at the time of the Closing, rounded up to the nearest share, for each securityholder of Legacy Kodiak that is not an affiliate of Legacy Kodiak.</w:t>
      </w:r>
    </w:p>
    <w:p>
      <w:pPr>
        <w:spacing w:after="0" w:line="15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AACT reminds its shareholders to vote in favor of the proposed business combination. Holders of AACT’s ordinary shares at the close of business on the record date of August 20, 2025 are entitled to vote at the Extraordinary General Meeting. More details about the proposed business combination and the resolutions to be voted upon at the Extraordinary General Meeting can be found in the proxy statement/prospectus relating to the proposed business combination which is available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This Current Report includes “forward-looking statements” including regarding AACT’s or Legacy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Legacy Kodiak’s and AACT’s expectations with respect to the completion of the Series A Preferred Investment, the future performance and the success of the combined company</w:t>
      </w:r>
    </w:p>
    <w:p>
      <w:pPr>
        <w:sectPr>
          <w:pgSz w:w="11900" w:h="16838" w:orient="portrait"/>
          <w:cols w:equalWidth="0" w:num="1">
            <w:col w:w="11004"/>
          </w:cols>
          <w:pgMar w:left="436" w:top="297" w:right="45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following the consummation of the proposed business combination (the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the expected benefits of the proposed business combination; estimated total addressable markets for commercial trucking and public sector applications; estimated Kodiak Driver-as-a-Service Economics, including assumptions around costs per mile of a human driver, average cost of a human driver and expected customer cost savings; Legacy Kodiak’s operational and product roadmap, and its ability to produce and deploy the Kodiak Driver at scale; the regulatory landscape for the Kodiak Driver and complexities with compliance related to such landscape; the capitalization of the combined company after giving effect to the proposed business combination; developments relating to Legacy Kodiak’s competitors and industry; Legacy Kodiak’s ability to successfully collaborate with business partners and customers; Legacy Kodiak’s future capital requirements and sources and uses of cash; expectations regarding Legacy Kodiak’s expansion plans and opportunities; and the completion of the contemplated PIPE Investment, the Series A Preferred Investment and any incremental PIPE Investment or Series A Preferred Investment. These statements are based on various assumptions, whether or not identified in this Current Report, and on the current expectations of Legacy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Legacy Kodiak and AACT. These forward-looking statements are subject to a number of risks and uncertainties, including changes in business, market, financial, political and legal conditions; the rapid evolution of autonomous vehicle technology and flaws or errors in Legacy Kodiak’s solutions or flaws in or misuse of autonomous vehicle technology in general;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Legacy Kodiak or AACT is not obtained; failure to realize the anticipated benefits of the proposed business combination; risks related to the rollout of Legacy Kodiak’s business and the timing of expected business milestones; the effects of competition on Legacy Kodiak’s business; supply shortages in the materials necessary for the production of the Kodiak Driver; risks related to working with third-party manufacturers for key components of the Kodiak Driver; risks related to the retrofitting of Legacy Kodiak’s vehicles by third parties; the termination or suspension of any of Legacy Kodiak’s contracts or the reduction in counterparty spending; delays in Legacy Kodiak’s operational roadmap with key partners and customers; the amount of redemption requests made by AACT’s public equity holders; and the ability of AACT or the combined company to issue equity or equity-linked securities in connection with the proposed business combination or in the future. Additional information concerning these and other factors that may impact such forward-looking statements can be found in filings and potential filings by Legacy Kodiak, AACT or the combined company resulting from the proposed business combination with the SEC, including under the heading “Risk Factors” contained in the proxy statement/prospectus. If any of these risks materialize or any assumptions prove incorrect, actual results could differ materially from the results implied by these forward-looking statements. There may be additional risks that neither Legacy Kodiak nor AACT presently know or that Legacy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20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forward-looking statements reflect Legacy Kodiak’s and AACT’s expectations, plans or forecasts of future events and views as of the date of this Current Report. Legacy Kodiak and AACT anticipate that subsequent events and developments will cause Legacy Kodiak’s and AACT’s assessments to change. However, while Legacy Kodiak and AACT may elect to update these forward-looking statements at some point in the future, Legacy Kodiak and AACT specifically disclaim any obligation to do so, except as required by law. These forward-looking statements should not be relied upon as representing Legacy Kodiak’s or AACT’s assessments as of any date subsequent to the date of this Current Report. Accordingly, undue reliance should not be placed upon the forward-looking statements. Neither Legacy Kodiak, AACT, nor any of their respective affiliates have any obligation to update these forward-looking statements other than as required by law.</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addition, this Current Report contains certain information about the historical performance of Legacy Kodiak. You should not view information related to the past performance of Legacy Kodiak as indicative of future results. Certain information set forth in this Current Report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ectPr>
          <w:pgSz w:w="11900" w:h="16838" w:orient="portrait"/>
          <w:cols w:equalWidth="0" w:num="1">
            <w:col w:w="10980"/>
          </w:cols>
          <w:pgMar w:left="440" w:top="297"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7"/>
          <w:szCs w:val="17"/>
          <w:color w:val="auto"/>
        </w:rPr>
        <w:t>This Current Report relates to the proposed business combination between Legacy Kodiak and AACT. In connection with the proposed business combination, AACT and Legacy Kodiak initially filed a registration statement on Form S-4 with the SEC on May 14, 2025 (File No. 333-287278) (as amended from time to time,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which includes a prospectus with respect to the combined company’s securities to be issued in connection with the proposed business combination and a preliminary proxy statement with respect to the shareholder meeting of AACT to vote on the proposed business combination. The Registration Statement was declared effective by the SEC, and AACT commenced mailing, on August 29, 2025, the proxy statement/prospectus to the shareholders of AACT as of the record date established for voting on the proposed business combination.</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SECURITY HOLDERS OF LEGACY KODIAK AND AACT ARE URGED TO READ THE PROXY STATEMENT/PROSPECTUS (INCLUDING ALL AMENDMENTS AND SUPPLEMENTS THERETO) AND OTHER DOCUMENTS AND RELEVANT MATERIALS RELATING TO THE PROPOSED BUSINESS COMBINATION THAT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Legacy Kodiak and AACT once such documents are filed with the SEC through the website maintained by the SEC at http://www.sec.gov. In addition, the documents filed by AACT may be obtained free of charge from AACT at www.aresacquisitioncorporationii.com. Alternatively, these documents, when available, can be obtained free of charge from AACT upon written request to Ares Acquisition Corporation II, 245 Park Avenue, 44th Floor, New York, New York 10167, Attn: Secretary, or by calling (888) 818-5298. The information contained on, or that may be accessed through the websites referenced in this Current Report is not incorporated by reference into, and is not a part of, this Current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17"/>
          <w:szCs w:val="17"/>
          <w:color w:val="auto"/>
        </w:rPr>
        <w:t>AACT, Legacy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proxy statement/prospectus, and the Registration Statement which was declared effective by the SEC on August 29, 2025,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preliminary proxy statement/prospectus included in the Registration Statement.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shall not constitute a solicitation of any proxy, vote, consent or approval in any jurisdiction in connection with the proposed business combination and shall not constitute an offer to sell or a solicitation of an offer to buy the securities of AACT, Legacy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ectPr>
          <w:pgSz w:w="11900" w:h="16838" w:orient="portrait"/>
          <w:cols w:equalWidth="0" w:num="1">
            <w:col w:w="10980"/>
          </w:cols>
          <w:pgMar w:left="440" w:top="293" w:right="479" w:bottom="1440" w:gutter="0" w:footer="0" w:header="0"/>
        </w:sectPr>
      </w:pPr>
    </w:p>
    <w:bookmarkStart w:id="11" w:name="page12"/>
    <w:bookmarkEnd w:id="11"/>
    <w:p>
      <w:pPr>
        <w:ind w:left="4"/>
        <w:spacing w:after="0"/>
        <w:tabs>
          <w:tab w:leader="none" w:pos="1184"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6"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924"/>
          </w:cols>
          <w:pgMar w:left="436" w:top="293" w:right="539" w:bottom="1440" w:gutter="0" w:footer="0" w:header="0"/>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340"/>
          </w:cols>
          <w:pgMar w:left="436" w:top="293" w:right="539" w:bottom="1440" w:gutter="0" w:footer="0" w:header="0"/>
          <w:type w:val="continuous"/>
        </w:sectPr>
      </w:pPr>
    </w:p>
    <w:p>
      <w:pPr>
        <w:ind w:left="84" w:hanging="84"/>
        <w:spacing w:after="0"/>
        <w:tabs>
          <w:tab w:leader="none" w:pos="8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Form of Certificate of Designation</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PIPE Warrant Certificate</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u w:val="single" w:color="auto"/>
          <w:color w:val="0000EE"/>
        </w:rPr>
        <w:t>Form of Subscription Agreement</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Acknowledgement and Agreement, by and among Kodiak Robotics, Inc., Ares Agent Services, L.P. and AAC II Holdings II LP, dated as of</w:t>
            </w:r>
          </w:p>
        </w:tc>
      </w:tr>
      <w:tr>
        <w:trPr>
          <w:trHeight w:val="196"/>
        </w:trPr>
        <w:tc>
          <w:tcPr>
            <w:tcW w:w="88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September 15, 2025.</w:t>
            </w:r>
          </w:p>
        </w:tc>
      </w:tr>
      <w:tr>
        <w:trPr>
          <w:trHeight w:val="20"/>
        </w:trPr>
        <w:tc>
          <w:tcPr>
            <w:tcW w:w="8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as of September 15, 2025</w:t>
            </w:r>
          </w:p>
        </w:tc>
        <w:tc>
          <w:tcPr>
            <w:tcW w:w="6700" w:type="dxa"/>
            <w:vAlign w:val="bottom"/>
          </w:tcPr>
          <w:p>
            <w:pPr>
              <w:spacing w:after="0"/>
              <w:rPr>
                <w:sz w:val="24"/>
                <w:szCs w:val="24"/>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24"/>
          </w:cols>
          <w:pgMar w:left="436" w:top="293" w:right="539" w:bottom="1440" w:gutter="0" w:footer="0" w:header="0"/>
          <w:type w:val="continuous"/>
        </w:sectPr>
      </w:pPr>
    </w:p>
    <w:bookmarkStart w:id="12" w:name="page13"/>
    <w:bookmarkEnd w:id="1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Allyson Satin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Allyson Satin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ectPr>
          <w:pgSz w:w="11900" w:h="16838" w:orient="portrait"/>
          <w:cols w:equalWidth="0" w:num="1">
            <w:col w:w="10700"/>
          </w:cols>
          <w:pgMar w:left="440" w:top="293" w:right="7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9.99% SERIES A CUMULATIVE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151(g)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Don Burnette, does hereby certify that:</w:t>
      </w:r>
    </w:p>
    <w:p>
      <w:pPr>
        <w:spacing w:after="0" w:line="113" w:lineRule="exact"/>
        <w:rPr>
          <w:sz w:val="20"/>
          <w:szCs w:val="20"/>
          <w:color w:val="auto"/>
        </w:rPr>
      </w:pPr>
    </w:p>
    <w:p>
      <w:pPr>
        <w:ind w:left="1160" w:hanging="173"/>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Chief Executive Officer of Kodiak AI,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20,000,000 shares of preferred stock, none of which have been issued.</w:t>
      </w:r>
    </w:p>
    <w:p>
      <w:pPr>
        <w:spacing w:after="0" w:line="22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adopted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certificate of incorporation of the Corporation provides for a class of its authorized stock known as preferred stock, consisting of 20,000,000 shares, $0.0001 par value per share, issuable from time to time in one or more series;</w:t>
      </w:r>
    </w:p>
    <w:p>
      <w:pPr>
        <w:spacing w:after="0" w:line="162"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rights, preferences, restrictions and other matters relating to a series of the preferred stock, which shall consist of up to [•] shares of the preferred stock which the Corporation has the authority to issue, as follows:</w:t>
      </w:r>
    </w:p>
    <w:p>
      <w:pPr>
        <w:spacing w:after="0" w:line="68"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38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TERMS OF 9.99% SERIES A CUMULATIVE CONVERTIBLE PREFERRED STOCK</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but Unpaid Dividends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4" w:name="page15"/>
    <w:bookmarkEnd w:id="14"/>
    <w:p>
      <w:pPr>
        <w:ind w:right="200" w:firstLine="42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as of any date, with respect to each share of Preferred Stock as of the determination date, means the sum, subject to appropriate adjustment in the event of any stock dividend, stock split, combination or other similar recapitalization with respect to the Preferred Stock, of: (i) the Stated Value per share of Preferred Stock; plus (ii) all PIK Dividends paid on such share of Preferred Stock pursuant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Rate</w:t>
      </w:r>
      <w:r>
        <w:rPr>
          <w:rFonts w:ascii="Times New Roman" w:cs="Times New Roman" w:eastAsia="Times New Roman" w:hAnsi="Times New Roman"/>
          <w:sz w:val="18"/>
          <w:szCs w:val="18"/>
          <w:color w:val="auto"/>
        </w:rPr>
        <w:t>” with respect to a PIK Dividend, means 9.99% of the Accrued Value and with respect to a Cash Dividend, means 7.99% of the Accrued Value.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April 14, 2025, by and among the Corporation (or its predecessor), AAC II Merger Sub, Inc. and Kodiak Robotics, Inc.</w:t>
      </w:r>
    </w:p>
    <w:p>
      <w:pPr>
        <w:spacing w:after="0" w:line="47" w:lineRule="exact"/>
        <w:rPr>
          <w:sz w:val="20"/>
          <w:szCs w:val="20"/>
          <w:color w:val="auto"/>
        </w:rPr>
      </w:pPr>
    </w:p>
    <w:p>
      <w:pPr>
        <w:ind w:right="80"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Trading Day on which the transactions contemplated by the Business Combination are consummated.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$0.0001 per share, of the Corporation and stock of any other class of securities into which such securities may hereafter be reclassified or changed.</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66" w:right="479" w:bottom="1440" w:gutter="0" w:footer="0" w:header="0"/>
        </w:sectPr>
      </w:pPr>
    </w:p>
    <w:bookmarkStart w:id="15" w:name="page16"/>
    <w:bookmarkEnd w:id="15"/>
    <w:p>
      <w:pPr>
        <w:ind w:left="4" w:right="180" w:firstLine="423"/>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Corporation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5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Preferred Stock in accordance with the terms hereof.</w:t>
      </w:r>
    </w:p>
    <w:p>
      <w:pPr>
        <w:spacing w:after="0" w:line="47" w:lineRule="exact"/>
        <w:rPr>
          <w:sz w:val="20"/>
          <w:szCs w:val="20"/>
          <w:color w:val="auto"/>
        </w:rPr>
      </w:pPr>
    </w:p>
    <w:p>
      <w:pPr>
        <w:ind w:left="4" w:right="6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or which otherwise entitles the holder thereof to acquire, any shares of Common Stock.</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23"/>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xml:space="preserve">” means: (i) a merger or consolidation in which (a) the Corporation is a constituent party or (b) a subsidiary of the Corporation is a constituent party and the Corporation issues shares of its capital stock pursuant to such merger or consolidation;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Deemed Liquidation Event shall not include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 w:lineRule="exact"/>
        <w:rPr>
          <w:sz w:val="20"/>
          <w:szCs w:val="20"/>
          <w:color w:val="auto"/>
        </w:rPr>
      </w:pPr>
    </w:p>
    <w:p>
      <w:pPr>
        <w:ind w:left="4" w:right="40" w:hanging="4"/>
        <w:spacing w:after="0" w:line="253" w:lineRule="auto"/>
        <w:tabs>
          <w:tab w:leader="none" w:pos="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sale, in a single transaction or series of related transactions, by the Corporation or any subsidiary of the Corporation of all or substantially all the assets of the Corporation and its subsidiaries taken as a whole, or (b) the sale or disposition (whether by merger, consolidation or otherwise, and whether in a single transaction or a series of related transactions) of one (1) or more subsidiaries of the Corporation if substantially all of the assets of the Corporation and its subsidiaries taken as a whole are held by such subsidiary or subsidiaries, except where such sale is to a wholly owned subsidiary of the Corporation.</w:t>
      </w:r>
    </w:p>
    <w:p>
      <w:pPr>
        <w:spacing w:after="0" w:line="7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66" w:right="459" w:bottom="1440" w:gutter="0" w:footer="0" w:header="0"/>
        </w:sectPr>
      </w:pPr>
    </w:p>
    <w:bookmarkStart w:id="16" w:name="page17"/>
    <w:bookmarkEnd w:id="16"/>
    <w:p>
      <w:pPr>
        <w:ind w:left="444" w:firstLine="423"/>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Exempt Issuance</w:t>
      </w:r>
      <w:r>
        <w:rPr>
          <w:rFonts w:ascii="Times New Roman" w:cs="Times New Roman" w:eastAsia="Times New Roman" w:hAnsi="Times New Roman"/>
          <w:sz w:val="17"/>
          <w:szCs w:val="17"/>
          <w:color w:val="auto"/>
        </w:rPr>
        <w:t xml:space="preserve">” means the issuance of (a) any securities of the Corporation to employees, officers or directors, consultants, contractors, vendors or other agents of the Corporation pursuant to any stock or option plan duly adopted for such purpose, by a majority of the non-employee members of the Board of Directors or a majority of the members of a committee of non-employee directors established for such purpose for services rendered to the Corporation, (b) securities upon the exercise or exchange of or conversion of any securities issued pursuant to the Purchase Agreements or the Business Combination Agreement and/or other securities exercisable or exchangeable for or convertible into shares of Common Stock issued and outstanding on the Closing Date,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xml:space="preserve"> such securities have not been amended since the Closing Date to increase the number of such securities or to decrease the exercise price, exchange price or conversion price of such securities (other than in connection with stock splits or combinations and automatic adjustments to such terms pursuant to anti-dilution or similar provisions of such securities which are not more favorable to the holder thereof than the anti-dilution and similar provisions set forth herein) or to extend the term of such securities, (c) the Conversion Shares, (d) securities issued pursuant to any merger, acquisition or strategic transaction or partnership approved by a majority of the directors of the Corporation,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xml:space="preserve"> (i) such securities are issued as “restricted securities” (as defined in Rule 144) or are issued pursuant to an effective registration statement pursuant to the Securities Act and (ii) any such issuance shall only be to a Person (or to the equityholders of a Person) which is, itself or through its subsidiaries, an operating company or an owner of an asset in a business synergistic with the business of the Corporation and shall provide to the Corporation additional benefits in addition to the investment of funds, (e) any Earnout RSU or Earnout Stock (each as defined in the Business Combination Agreement) and (f) any securities issued by the corporation pursuant to any legal settlement or similar arrangement agreed or entered into by the Corporation,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in the aggregate, not more than [ •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shares of Common Stock are issued or deemed issued or issuable upon conversion, settlement, exercise or exchange of any such securities that are Options or Convertible Securities, </w:t>
      </w:r>
      <w:r>
        <w:rPr>
          <w:rFonts w:ascii="Times New Roman" w:cs="Times New Roman" w:eastAsia="Times New Roman" w:hAnsi="Times New Roman"/>
          <w:sz w:val="17"/>
          <w:szCs w:val="17"/>
          <w:i w:val="1"/>
          <w:iCs w:val="1"/>
          <w:u w:val="single" w:color="auto"/>
          <w:color w:val="auto"/>
        </w:rPr>
        <w:t>but</w:t>
      </w:r>
      <w:r>
        <w:rPr>
          <w:rFonts w:ascii="Times New Roman" w:cs="Times New Roman" w:eastAsia="Times New Roman" w:hAnsi="Times New Roman"/>
          <w:sz w:val="17"/>
          <w:szCs w:val="17"/>
          <w:color w:val="auto"/>
        </w:rPr>
        <w:t xml:space="preserve"> any such Exempt Issuance shall not include a transaction in which the Corporation is issuing securities</w:t>
      </w:r>
    </w:p>
    <w:p>
      <w:pPr>
        <w:spacing w:after="0" w:line="211" w:lineRule="exact"/>
        <w:rPr>
          <w:sz w:val="20"/>
          <w:szCs w:val="20"/>
          <w:color w:val="auto"/>
        </w:rPr>
      </w:pPr>
    </w:p>
    <w:p>
      <w:pPr>
        <w:ind w:left="444" w:right="480" w:hanging="4"/>
        <w:spacing w:after="0" w:line="260" w:lineRule="auto"/>
        <w:tabs>
          <w:tab w:leader="none" w:pos="6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for the purpose of raising capital, including an at-the-market offering, or (ii) to an entity whose primary business is investing in securities.</w:t>
      </w:r>
    </w:p>
    <w:p>
      <w:pPr>
        <w:spacing w:after="0" w:line="6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lesser of (i) $6.00 and (ii) the Conversion Price then in effect.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To be equal to $1,000,000 divided by the Redemption price.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xml:space="preserve">”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w:t>
      </w:r>
      <w:r>
        <w:rPr>
          <w:rFonts w:ascii="Times New Roman" w:cs="Times New Roman" w:eastAsia="Times New Roman" w:hAnsi="Times New Roman"/>
          <w:sz w:val="18"/>
          <w:szCs w:val="18"/>
          <w:b w:val="1"/>
          <w:bCs w:val="1"/>
          <w:u w:val="single" w:color="auto"/>
          <w:color w:val="auto"/>
        </w:rPr>
        <w:t>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100% and the 100 day volatility obtained from the HVT function on Bloomberg as of (A) the Trading Day immediately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Common Stock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in case any Option is issued in connection with the issue or sale of other securities of the Corporation, together comprising one integrated transaction, in no event shall the Option Value exceed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Corporation upon the exercise of such Options, or in the case of Options for Convertible Securities, the exercise of such Options for Convertible Securities and the conversion or exchange of such Convertible Securities) equal to (1) the number of shares of common stock underlying such Option divided by (2) the total number of shares of Common Stock issued or issuable in the integrated transaction (including the number of shares underlying such Option).</w:t>
      </w:r>
    </w:p>
    <w:p>
      <w:pPr>
        <w:spacing w:after="0" w:line="83"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4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47"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66" w:right="47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Liquidation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Register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Agreements</w:t>
      </w:r>
      <w:r>
        <w:rPr>
          <w:rFonts w:ascii="Times New Roman" w:cs="Times New Roman" w:eastAsia="Times New Roman" w:hAnsi="Times New Roman"/>
          <w:sz w:val="18"/>
          <w:szCs w:val="18"/>
          <w:color w:val="auto"/>
        </w:rPr>
        <w:t>” means the several Securities Purchase Agreements, between the Corporation and certain original Holders.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w:t>
      </w:r>
      <w:r>
        <w:rPr>
          <w:rFonts w:ascii="Times New Roman" w:cs="Times New Roman" w:eastAsia="Times New Roman" w:hAnsi="Times New Roman"/>
          <w:sz w:val="18"/>
          <w:szCs w:val="18"/>
          <w:color w:val="auto"/>
        </w:rPr>
        <w:t xml:space="preserve">s” shall have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Semi-Annual Dividend Date</w:t>
      </w:r>
      <w:r>
        <w:rPr>
          <w:rFonts w:ascii="Times New Roman" w:cs="Times New Roman" w:eastAsia="Times New Roman" w:hAnsi="Times New Roman"/>
          <w:sz w:val="18"/>
          <w:szCs w:val="18"/>
          <w:color w:val="auto"/>
        </w:rPr>
        <w:t>” shall mean June 1 and December 1 of each year.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11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9" w:name="page20"/>
    <w:bookmarkEnd w:id="19"/>
    <w:p>
      <w:pPr>
        <w:ind w:right="320" w:firstLine="42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Corporation, and any successor transfer agent of the Corporation.</w:t>
      </w:r>
    </w:p>
    <w:p>
      <w:pPr>
        <w:spacing w:after="0" w:line="4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the 45 Trading Days preceding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but is listed or quoted on OTCQB or OTCQX, the volume weighted average price of the Common Stock for the 45 Trading Days preceding such date (or the nearest preceding date) on OTCQB or OTCQX as applicable, (c) if the Common Stock is not then listed or quoted for trading on a Trading Market, OTCQB or OTCQX and if prices for the Common Stock are then reported in The Pink Open Market (or a similar organization or agency succeeding to its functions of reporting prices), the average of the highest closing bid price and the lowest closing ask price of the Common Stock for the 45 Trading Days preceding such date, or (d) in all other cases, the fair market value of a share of Common Stock as determined by an independent appraiser selected in good faith by the Holders of a majority in interest of the Preferred Stock then outstanding and reasonably acceptable to the Corporation, the fees and expenses of which shall be paid by the Corporation.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firstLine="419"/>
        <w:spacing w:after="0" w:line="262" w:lineRule="auto"/>
        <w:tabs>
          <w:tab w:leader="none" w:pos="6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of preferred stock shall be designated as its “9.99% Series A Cumulative Convertible Preferred Stock”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the number of shares so designated shall be up to [•] (which shall not be subject to increase without the written consent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50% of the then outstanding Preferred Stock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Each share of Preferred Stock shall have a par value of $0.0001 per share and a stated value equal to $1,200.00 (the “</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register, or cause its Transfer Agent to register, shares of the Preferred Stock upon records to be maintained by the Corporation or its Transfer Agent for that purpose (the “</w:t>
      </w:r>
      <w:r>
        <w:rPr>
          <w:rFonts w:ascii="Times New Roman" w:cs="Times New Roman" w:eastAsia="Times New Roman" w:hAnsi="Times New Roman"/>
          <w:sz w:val="18"/>
          <w:szCs w:val="18"/>
          <w:b w:val="1"/>
          <w:bCs w:val="1"/>
          <w:color w:val="auto"/>
        </w:rPr>
        <w:t>Preferred Stock Register</w:t>
      </w:r>
      <w:r>
        <w:rPr>
          <w:rFonts w:ascii="Times New Roman" w:cs="Times New Roman" w:eastAsia="Times New Roman" w:hAnsi="Times New Roman"/>
          <w:sz w:val="18"/>
          <w:szCs w:val="18"/>
          <w:color w:val="auto"/>
        </w:rPr>
        <w:t>”), in the name of the Holders thereof from time to time. The Corporation may deem and treat the registered Holder of shares of Preferred Stock as the absolute owner thereof for the purpose of any conversion thereof and for all other purposes. The Corporation shall register, or cause its Transfer Agent to register, the transfer of any shares of Preferred Stock in the Preferred Stock Register, upon surrender of any certificates evidencing such shares to be transferred, duly endorsed by the Holder thereof, to the Corporation at its address specified in the Corporation’s most recently filed Current Report on Form 8-K and after such Holder shall have provided to the Corporation such documentation and legal opinions, if any, as may be reasonably requested by the Corporation (including any documentation required by the Transfer Agent with respect to such transfer). Upon the registration of such transfer, a new certificate (to the extent such shares are certificated) evidencing the shares of Preferred Stock so transferred shall be issued to the transferee and a new certificate evidencing the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20" w:name="page21"/>
    <w:bookmarkEnd w:id="20"/>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portion of the shares not so transferred, if any, shall be issued to the transferring Holder, in each case, within three Business Days. The Board of Directors may provide by resolution or resolutions that some or all of the Preferred Stock shall be uncertificated shares. The Corporation shall not be required to register, or cause its Transfer Agent to register, or record any transfer of any shares of the Preferred Stock that would violate, conflict with, or fail to be in compliance with federal or state securities laws.</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5" w:lineRule="auto"/>
        <w:tabs>
          <w:tab w:leader="none" w:pos="6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cumulative dividends shall accrue on the Accrued Value of each share of Preferred Stock at the Annual Rate. Dividends on each share of Preferred Stock shall be cumulative and shall accrue daily, but shall be paid in cash or in kind, at the election of the Corporation, on a semi-annual basis on each Semi-Annual Dividend Date (the accrued but unpaid or uncompounded dividend owing on each Semi-Annual Dividend Date, the “</w:t>
      </w:r>
      <w:r>
        <w:rPr>
          <w:rFonts w:ascii="Times New Roman" w:cs="Times New Roman" w:eastAsia="Times New Roman" w:hAnsi="Times New Roman"/>
          <w:sz w:val="18"/>
          <w:szCs w:val="18"/>
          <w:b w:val="1"/>
          <w:bCs w:val="1"/>
          <w:color w:val="auto"/>
        </w:rPr>
        <w:t>Accrued Dividend</w:t>
      </w:r>
      <w:r>
        <w:rPr>
          <w:rFonts w:ascii="Times New Roman" w:cs="Times New Roman" w:eastAsia="Times New Roman" w:hAnsi="Times New Roman"/>
          <w:sz w:val="18"/>
          <w:szCs w:val="18"/>
          <w:color w:val="auto"/>
        </w:rPr>
        <w:t>”) whether or not earned or declared, and whether or not there are earnings or profits, surplus, or other funds or assets of the Corporation legally available for the payment of dividends. At the election of the Corporation, on each Semi Annual Dividend Date, the Accrued Dividend shall be paid (i) in cash (a “</w:t>
      </w:r>
      <w:r>
        <w:rPr>
          <w:rFonts w:ascii="Times New Roman" w:cs="Times New Roman" w:eastAsia="Times New Roman" w:hAnsi="Times New Roman"/>
          <w:sz w:val="18"/>
          <w:szCs w:val="18"/>
          <w:b w:val="1"/>
          <w:bCs w:val="1"/>
          <w:color w:val="auto"/>
        </w:rPr>
        <w:t>Cash Dividend</w:t>
      </w:r>
      <w:r>
        <w:rPr>
          <w:rFonts w:ascii="Times New Roman" w:cs="Times New Roman" w:eastAsia="Times New Roman" w:hAnsi="Times New Roman"/>
          <w:sz w:val="18"/>
          <w:szCs w:val="18"/>
          <w:color w:val="auto"/>
        </w:rPr>
        <w:t>”), or (ii) in kind by increasing the Accrued Value of such share (a “</w:t>
      </w:r>
      <w:r>
        <w:rPr>
          <w:rFonts w:ascii="Times New Roman" w:cs="Times New Roman" w:eastAsia="Times New Roman" w:hAnsi="Times New Roman"/>
          <w:sz w:val="18"/>
          <w:szCs w:val="18"/>
          <w:b w:val="1"/>
          <w:bCs w:val="1"/>
          <w:color w:val="auto"/>
        </w:rPr>
        <w:t>PIK Dividend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declare, pay or set aside any dividends on shares of any other class or series of capital stock of the Corporation ranking junior to the Preferred Stock (other than dividends on Junior Securities payable in Junior Securities) unless (in addition to the obtaining of any consents required in this Certificate of Designation or the Corporation’s certificate of incorporation) the Holders of the Preferred Stock then outstanding shall first receive, or simultaneously receive, a dividend on each outstanding share of Preferred Stock in an amount at least equal to the sum of (i) the amount of the aggregate Accrued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Cumulative Convertible Preferred Stock, in each case calculated on the record date for determination of holders entitled to receive such dividend or (B) in the case of a dividend on any class or series of capital stock of the Corporation ranking junior to the Preferred Stock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w:t>
      </w:r>
    </w:p>
    <w:p>
      <w:pPr>
        <w:spacing w:after="0" w:line="9" w:lineRule="exact"/>
        <w:rPr>
          <w:rFonts w:ascii="Times New Roman" w:cs="Times New Roman" w:eastAsia="Times New Roman" w:hAnsi="Times New Roman"/>
          <w:sz w:val="17"/>
          <w:szCs w:val="17"/>
          <w:color w:val="auto"/>
        </w:rPr>
      </w:pPr>
    </w:p>
    <w:p>
      <w:pPr>
        <w:ind w:left="4" w:right="140" w:hanging="4"/>
        <w:spacing w:after="0" w:line="253"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multiplying such fraction by an amount equal to the Accrued Value; provided that if the Corporation declares, pays or sets aside, on the same date, a dividend on shares of more than one class or series of capital stock of the Corporation that is junior to the Preferred Stock, the dividend payable to the Holders of Preferred Stock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4"/>
          </w:cols>
          <w:pgMar w:left="876" w:top="270" w:right="479" w:bottom="1440" w:gutter="0" w:footer="0" w:header="0"/>
        </w:sectPr>
      </w:pPr>
    </w:p>
    <w:bookmarkStart w:id="21" w:name="page22"/>
    <w:bookmarkEnd w:id="21"/>
    <w:p>
      <w:pPr>
        <w:ind w:right="180" w:firstLine="419"/>
        <w:spacing w:after="0" w:line="266"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Holders shall be entitled to receive, and the Corporation shall pay, dividends on shares of Preferred Stock (other than Accrued Dividends), on an as-converted basis, equal to cash dividends actually paid on shares of the Common Stock when, as and if such dividends are paid on shares of the Common Stock.</w:t>
      </w:r>
    </w:p>
    <w:p>
      <w:pPr>
        <w:spacing w:after="0" w:line="67"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to the extent that the Holder’s right to participate in any dividend would result in the Holder exceeding the Beneficial Ownership Limitation, then the Holder shall not be entitled to participate in such dividend to such extent (or in the beneficial ownership of any shares of Common Stock as a result of such Distribution to such extent) and the portion of such dividend shall be held in abeyance for the benefit of the Holder until such time, if ever, such grant, issuance or sale, as its right thereto would not result in the Holder exceeding the Beneficial Ownership Limitation.</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66"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shall be entitled to notice of any meeting of stockholders of the Corporation and, except as otherwise required by law or as may be provided herein, shall vote together with the holders of Common Stock as a single class upon any matter submitted to the stockholders for a vote.</w:t>
      </w:r>
    </w:p>
    <w:p>
      <w:pPr>
        <w:spacing w:after="0" w:line="67"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matter presented to the stockholders of the Corporation for their action or consideration at any meeting of the stockholders of the Corporation (or by written consent in lieu of a meeting), a Holder, together with its Attribution Parties, shall be entitled to the number of votes equal to the number of whole shares of Common Stock into which the shares of Preferred Stock held by such Holder, together with its Attribution Parties, as are convertible on the record date for determining stockholders entitled to vote on such matter (as adjusted from time to time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subject to the Beneficial Ownership Limitation), but without regard as to whether sufficient shares of Common Stock are available out of the Corporation’s authorized by unissued stock, for the purpose of effecting the conversion of the Preferred Stock.</w:t>
      </w:r>
    </w:p>
    <w:p>
      <w:pPr>
        <w:spacing w:after="0" w:line="79" w:lineRule="exact"/>
        <w:rPr>
          <w:rFonts w:ascii="Times New Roman" w:cs="Times New Roman" w:eastAsia="Times New Roman" w:hAnsi="Times New Roman"/>
          <w:sz w:val="18"/>
          <w:szCs w:val="18"/>
          <w:color w:val="auto"/>
        </w:rPr>
      </w:pPr>
    </w:p>
    <w:p>
      <w:pPr>
        <w:ind w:right="600" w:firstLine="419"/>
        <w:spacing w:after="0" w:line="282"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without the affirmative vote or action by written consent of the Holders of a majority of the issued and outstanding shares of the Preferred Stock (the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wind-up the affairs of the Corporation;</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Corporation’s certificate of incorporation or bylaws, or this Certificate of Designation in a manner that materially and adversely affects the powers, preferences or rights given to the Preferred Stock;</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equity security, authorize the creation of any equity security, classify any equity security, reclassify any equity security, or issue any other security convertible into or exercisable for any equity security, unless such security ranks junior to the Preferred Stock with respect to its rights, preferences and privileges or increase the number of authorized shares of Preferred Stock; or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22" w:name="page23"/>
    <w:bookmarkEnd w:id="22"/>
    <w:p>
      <w:pPr>
        <w:ind w:left="540" w:right="100" w:firstLine="408"/>
        <w:spacing w:after="0" w:line="261"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purchase or redeem or pay any cash dividend on any capital stock of the Corporation ranking junior to the Preferred Stock prior to payment of such cash dividend on the Preferred Stock or purchase or redeem any capital stock of the Corporation ranking junior to the Preferred Stock, other than capital stock repurchased at cost from former employees and consultants in connection with the cessation of their service or pursuant to the terms of any equity incentive plan of the Corporation;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61" w:lineRule="auto"/>
        <w:tabs>
          <w:tab w:leader="none" w:pos="6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shall rank senior to all of the Common Stock and any other class or series of capital stock of the Corporation currently existing or hereafter authorized, classified or reclassified by the Corporation (collectively, “</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in each case, as to rights to receive dividends or to participate in distributions of assets or payments upon liquidation, dissolution or winding up of the Corporation, whether voluntarily or involuntarily.</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Preferential Payments to Holders of Preferred Stock; Distribution of Remaining Assets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the Holders of shares of Preferred Stock then outstanding shall be entitled to be paid out of the consideration payable to stockholders in such Deemed Liquidation Event or out of the Available Proceeds (as defined below), as applicable, before any payment shall be made to the holders of Common Stock or other Junior Securities by reason of their ownership thereof, an amount per share equal to the greater of: (i) (x) 100% of the Accrued Value; plus (y) the accrued but unpaid or uncompounded portion of the Accrued Dividend since the most recent Semi-Annual Dividend Date (determined on the basis of the Annual Rate for Cash Dividends since the most recent Semi-Annual Dividend Date) (such accrued but unpaid dividend, the “</w:t>
      </w:r>
      <w:r>
        <w:rPr>
          <w:rFonts w:ascii="Times New Roman" w:cs="Times New Roman" w:eastAsia="Times New Roman" w:hAnsi="Times New Roman"/>
          <w:sz w:val="18"/>
          <w:szCs w:val="18"/>
          <w:b w:val="1"/>
          <w:bCs w:val="1"/>
          <w:color w:val="auto"/>
        </w:rPr>
        <w:t>Accrued but Unpaid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on each share of Preferred Stock or (ii) such amount per share as would have been payable had all shares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converted into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immediately prior to such liquidation, dissolution, winding up or Deemed Liquidation Event based on the then effective rate of conversion and without giving effect to the Beneficial Ownership Limitation or any other limitations on conversion set forth herein.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23" w:name="page24"/>
    <w:bookmarkEnd w:id="23"/>
    <w:p>
      <w:pPr>
        <w:jc w:val="both"/>
        <w:ind w:left="121"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68" w:lineRule="exact"/>
        <w:rPr>
          <w:sz w:val="20"/>
          <w:szCs w:val="20"/>
          <w:color w:val="auto"/>
        </w:rPr>
      </w:pPr>
    </w:p>
    <w:p>
      <w:pPr>
        <w:ind w:left="121" w:right="20" w:firstLine="408"/>
        <w:spacing w:after="0" w:line="255" w:lineRule="auto"/>
        <w:tabs>
          <w:tab w:leader="none" w:pos="7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voluntary or involuntary liquidation, dissolution or winding up of the Corporation, after the payment in full of all amounts required to be paid to the holders of shares of Preferred Stock pursuant to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 xml:space="preserve">,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 xml:space="preserve"> or the remaining Available Proceeds, as the case may be, shall be distributed among the holders of the shares of Common Stock, pro rata based on the number of shares held by each such holder. The aggregate amount which a holder of a share of Preferred Stock is entitled to receive under </w:t>
      </w:r>
      <w:r>
        <w:rPr>
          <w:rFonts w:ascii="Times New Roman" w:cs="Times New Roman" w:eastAsia="Times New Roman" w:hAnsi="Times New Roman"/>
          <w:sz w:val="18"/>
          <w:szCs w:val="18"/>
          <w:u w:val="single" w:color="auto"/>
          <w:color w:val="auto"/>
        </w:rPr>
        <w:t>Sections 5(b)(i)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5(b)(ii)</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Preferred Stock Liquidation Amount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39" w:lineRule="auto"/>
        <w:tabs>
          <w:tab w:leader="none" w:pos="7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Deemed Liquidation Event, if the Corporation does not effect a dissolution of the Corporation under the Delaware General Corporation Law within 90 days after such Deemed Liquidation Event, then (i) the Corporation shall send a written notice to each Holder of Preferred Stock no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Deemed Liquidation Event advising such Holders of their right (and the requirements to be met to secure such right) pursuant to the terms of the following clause to require the redemption of such shares of Preferred Stock, and (ii) if the Required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or any other expenses associated with the Deemed Liquidation Event or the dissolution of the Corporation, in each case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on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such Deemed Liquidation Event, to redeem all outstanding shares of Preferred Stock at a price per share equal to the Preferred Stock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that would otherwise be payable in respect of the shares to be redeemed if the Available Proceeds were sufficient to redeem all such shares, and shall redeem the remaining shares as soon as it may lawfully do so under Delaware law governing distributions to stockholders. The provisions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apply, with such necessary changes in</w:t>
      </w:r>
    </w:p>
    <w:p>
      <w:pPr>
        <w:spacing w:after="0" w:line="133"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21"/>
          </w:cols>
          <w:pgMar w:left="1299" w:top="270" w:right="479" w:bottom="1440" w:gutter="0" w:footer="0" w:header="0"/>
        </w:sectPr>
      </w:pPr>
    </w:p>
    <w:bookmarkStart w:id="24" w:name="page25"/>
    <w:bookmarkEnd w:id="24"/>
    <w:p>
      <w:pPr>
        <w:jc w:val="both"/>
        <w:ind w:left="54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details thereof as are necessitated by the context, to the redemption of the Preferred Stock pursuant to this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 xml:space="preserve">. Prior to the distribution or redemption provided for in this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w:t>
      </w:r>
    </w:p>
    <w:p>
      <w:pPr>
        <w:spacing w:after="0" w:line="68" w:lineRule="exact"/>
        <w:rPr>
          <w:sz w:val="20"/>
          <w:szCs w:val="20"/>
          <w:color w:val="auto"/>
        </w:rPr>
      </w:pPr>
    </w:p>
    <w:p>
      <w:pPr>
        <w:ind w:left="1220" w:hanging="272"/>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Deemed Liquidation Event, if Available Proceeds are in a form of property other than in cash, the value of such</w:t>
      </w:r>
    </w:p>
    <w:p>
      <w:pPr>
        <w:spacing w:after="0" w:line="27" w:lineRule="exact"/>
        <w:rPr>
          <w:rFonts w:ascii="Times New Roman" w:cs="Times New Roman" w:eastAsia="Times New Roman" w:hAnsi="Times New Roman"/>
          <w:sz w:val="18"/>
          <w:szCs w:val="18"/>
          <w:color w:val="auto"/>
        </w:rPr>
      </w:pPr>
    </w:p>
    <w:p>
      <w:pPr>
        <w:ind w:left="5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shall be deemed to be the fair market value of such property. The determination of fair market value of such property shall be made in good faith by the Board of Directors of the Corporation, provided that to the extent such property consists of securities, the fair market value of such securities shall be determined as follows:</w:t>
      </w:r>
    </w:p>
    <w:p>
      <w:pPr>
        <w:spacing w:after="0" w:line="78"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 xml:space="preserve">For securities not subject to investment letters or other similar restrictions on free marketability covered by </w:t>
      </w:r>
      <w:r>
        <w:rPr>
          <w:rFonts w:ascii="Times New Roman" w:cs="Times New Roman" w:eastAsia="Times New Roman" w:hAnsi="Times New Roman"/>
          <w:sz w:val="18"/>
          <w:szCs w:val="18"/>
          <w:u w:val="single" w:color="auto"/>
          <w:color w:val="auto"/>
        </w:rPr>
        <w:t>Section 5(c)(iii)</w:t>
      </w:r>
      <w:r>
        <w:rPr>
          <w:rFonts w:ascii="Times New Roman" w:cs="Times New Roman" w:eastAsia="Times New Roman" w:hAnsi="Times New Roman"/>
          <w:sz w:val="18"/>
          <w:szCs w:val="18"/>
          <w:color w:val="auto"/>
        </w:rPr>
        <w:t xml:space="preserve"> below, the value shall be the VWAP of such securities.</w:t>
      </w:r>
    </w:p>
    <w:p>
      <w:pPr>
        <w:spacing w:after="0" w:line="54" w:lineRule="exact"/>
        <w:rPr>
          <w:sz w:val="20"/>
          <w:szCs w:val="20"/>
          <w:color w:val="auto"/>
        </w:rPr>
      </w:pPr>
    </w:p>
    <w:p>
      <w:pPr>
        <w:ind w:left="540" w:right="160" w:firstLine="408"/>
        <w:spacing w:after="0" w:line="261" w:lineRule="auto"/>
        <w:tabs>
          <w:tab w:leader="none" w:pos="1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of the Corporation) from the market value as determined pursuant to </w:t>
      </w:r>
      <w:r>
        <w:rPr>
          <w:rFonts w:ascii="Times New Roman" w:cs="Times New Roman" w:eastAsia="Times New Roman" w:hAnsi="Times New Roman"/>
          <w:sz w:val="18"/>
          <w:szCs w:val="18"/>
          <w:u w:val="single" w:color="auto"/>
          <w:color w:val="auto"/>
        </w:rPr>
        <w:t>Section 5(c)(ii)</w:t>
      </w:r>
      <w:r>
        <w:rPr>
          <w:rFonts w:ascii="Times New Roman" w:cs="Times New Roman" w:eastAsia="Times New Roman" w:hAnsi="Times New Roman"/>
          <w:sz w:val="18"/>
          <w:szCs w:val="18"/>
          <w:color w:val="auto"/>
        </w:rPr>
        <w:t xml:space="preserve"> above so as to reflect the approximate fair market value thereof.</w:t>
      </w:r>
    </w:p>
    <w:p>
      <w:pPr>
        <w:spacing w:after="0" w:line="71" w:lineRule="exact"/>
        <w:rPr>
          <w:rFonts w:ascii="Times New Roman" w:cs="Times New Roman" w:eastAsia="Times New Roman" w:hAnsi="Times New Roman"/>
          <w:sz w:val="18"/>
          <w:szCs w:val="18"/>
          <w:color w:val="auto"/>
        </w:rPr>
      </w:pPr>
    </w:p>
    <w:p>
      <w:pPr>
        <w:ind w:left="540" w:right="60" w:firstLine="408"/>
        <w:spacing w:after="0" w:line="254"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Deemed Liquidation Event,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(a) the portion of such consideration that is not 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in accordance with the foregoing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Section 5(c)(iv)</w:t>
      </w:r>
      <w:r>
        <w:rPr>
          <w:rFonts w:ascii="Times New Roman" w:cs="Times New Roman" w:eastAsia="Times New Roman" w:hAnsi="Times New Roman"/>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1" w:lineRule="auto"/>
        <w:tabs>
          <w:tab w:leader="none" w:pos="6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Each share of Preferred Stock shall be convertible, at any time and from time to time from and after the Original Issue Date at the option of the Holder thereof, into that number of whole shares of Common Stock (subject to the limitations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determined by dividing the Accrued Value of such share of Preferred Stock, plus any Accrued but Unpaid Dividends on such share of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Preferred Stock, by the Conversion Price. Holders shall effect conversions by providing the Corporation with the form of conversion notice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unless the Corporation directs Holders that the Notice of Conversion shall be delivered to the Corporation’s transfer agent.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attachment or by a nationally recognized overnight courier service such Notice of Conversion to the Corporation (such date,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If no Conversion Date is specified in a Notice of Conversion, the Conversion Date shall be the date that such Notice of Conversion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 and all rights (other than the right to receive the Conversion Shares) with respect to such shares will terminate. The Corporation’s stock ledger and transfer book shall serve as the exclusive record of outstanding shares of Preferred Stock.</w:t>
      </w:r>
    </w:p>
    <w:p>
      <w:pPr>
        <w:spacing w:after="0" w:line="84" w:lineRule="exact"/>
        <w:rPr>
          <w:sz w:val="20"/>
          <w:szCs w:val="20"/>
          <w:color w:val="auto"/>
        </w:rPr>
      </w:pPr>
    </w:p>
    <w:p>
      <w:pPr>
        <w:ind w:left="680" w:hanging="26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initial conversion price is $12.00, subject to adjustment herein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p>
    <w:p>
      <w:pPr>
        <w:spacing w:after="0" w:line="117" w:lineRule="exact"/>
        <w:rPr>
          <w:rFonts w:ascii="Times New Roman" w:cs="Times New Roman" w:eastAsia="Times New Roman" w:hAnsi="Times New Roman"/>
          <w:sz w:val="18"/>
          <w:szCs w:val="18"/>
          <w:color w:val="auto"/>
        </w:rPr>
      </w:pPr>
    </w:p>
    <w:p>
      <w:pPr>
        <w:ind w:left="540" w:firstLine="408"/>
        <w:spacing w:after="0" w:line="253" w:lineRule="auto"/>
        <w:tabs>
          <w:tab w:leader="none" w:pos="11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Conversion Shares Upon Conversion</w:t>
      </w:r>
      <w:r>
        <w:rPr>
          <w:rFonts w:ascii="Times New Roman" w:cs="Times New Roman" w:eastAsia="Times New Roman" w:hAnsi="Times New Roman"/>
          <w:sz w:val="18"/>
          <w:szCs w:val="18"/>
          <w:color w:val="auto"/>
        </w:rPr>
        <w:t>. Not later than the number of Trading Days comprising the Standard Settlement Period (as defined below) after each Conversion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the Corporation shall deliver, or cause to be delivered, to the converting Holder the number of Conversion Shares being acquired upon the conversion of the Preferred Stock, which, on or after the one year anniversary of the Original Issue Date, will be free of restrictive legends and trading restrictions, provided the converting Holder delivers to the Corporation and its counsel all requested customary documentation and certifications. To the extent the Conversion Shares are issued free of restrictive legends and trading restrictions, the Corporation shall deliver the Conversion Shares required to be delivered by the Corporation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electronically through the Depository Trust Company if the Corporation is then a participant or another established clearing corporation performing similar functions. As used herein, “</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Corporation’s primary Trading Market with respect to the Common Stock as in effect on the date of delivery of the Notice of Conversion.</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26" w:name="page27"/>
    <w:bookmarkEnd w:id="26"/>
    <w:p>
      <w:pPr>
        <w:ind w:left="-20" w:right="80" w:firstLine="408"/>
        <w:spacing w:after="0" w:line="258" w:lineRule="auto"/>
        <w:tabs>
          <w:tab w:leader="none" w:pos="6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Deliver Conversion Shares</w:t>
      </w:r>
      <w:r>
        <w:rPr>
          <w:rFonts w:ascii="Times New Roman" w:cs="Times New Roman" w:eastAsia="Times New Roman" w:hAnsi="Times New Roman"/>
          <w:sz w:val="18"/>
          <w:szCs w:val="18"/>
          <w:color w:val="auto"/>
        </w:rPr>
        <w:t>. If, in the case of any Notice of Conversion, such Conversion Shares are not delivered to or as reasonably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75" w:lineRule="exact"/>
        <w:rPr>
          <w:rFonts w:ascii="Times New Roman" w:cs="Times New Roman" w:eastAsia="Times New Roman" w:hAnsi="Times New Roman"/>
          <w:sz w:val="18"/>
          <w:szCs w:val="18"/>
          <w:color w:val="auto"/>
        </w:rPr>
      </w:pPr>
    </w:p>
    <w:p>
      <w:pPr>
        <w:ind w:left="-20" w:firstLine="408"/>
        <w:spacing w:after="0" w:line="241" w:lineRule="auto"/>
        <w:tabs>
          <w:tab w:leader="none" w:pos="6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 Partial Liquidated Damages</w:t>
      </w:r>
      <w:r>
        <w:rPr>
          <w:rFonts w:ascii="Times New Roman" w:cs="Times New Roman" w:eastAsia="Times New Roman" w:hAnsi="Times New Roman"/>
          <w:sz w:val="18"/>
          <w:szCs w:val="18"/>
          <w:color w:val="auto"/>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delivery shall not operate as a waiver by the Corporation of any such action that the Corporation may have against such Holder. In the event a Holder shall elect to convert any or all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Accrued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for any reason unrelated to the actions of the Holder or its Affiliates, such Conversion Shares pursuant to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xml:space="preserve">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Share Delivery Date applicable to such conversion, the Corporation shall pay to such Holder, in cash, as liquidated damages and not as a penalty, for each $5,000 of Accrued Value of Preferred Stock being converted, $25 per Trading Day (increasing to $50 per Trading Day on the third Trading Day and increasing to $100 per Trading Day on the sixth Trading Day after such damages begin to accrue) for each Trading Day after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Share Delivery Date until such Conversion Shares are delivered or</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20"/>
          </w:cols>
          <w:pgMar w:left="1440" w:top="270" w:right="439" w:bottom="1440" w:gutter="0" w:footer="0" w:header="0"/>
        </w:sectPr>
      </w:pPr>
    </w:p>
    <w:bookmarkStart w:id="27" w:name="page28"/>
    <w:bookmarkEnd w:id="27"/>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rescinds such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56" w:lineRule="exact"/>
        <w:rPr>
          <w:sz w:val="20"/>
          <w:szCs w:val="20"/>
          <w:color w:val="auto"/>
        </w:rPr>
      </w:pPr>
    </w:p>
    <w:p>
      <w:pPr>
        <w:ind w:firstLine="408"/>
        <w:spacing w:after="0" w:line="251"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Conversion Shares Upon Conversion</w:t>
      </w:r>
      <w:r>
        <w:rPr>
          <w:rFonts w:ascii="Times New Roman" w:cs="Times New Roman" w:eastAsia="Times New Roman" w:hAnsi="Times New Roman"/>
          <w:sz w:val="18"/>
          <w:szCs w:val="18"/>
          <w:color w:val="auto"/>
        </w:rPr>
        <w:t xml:space="preserve">. In addition to any other rights available to the Holder, if the Corporation fails for any reason unrelated to the actions of the Holder or its Affiliates to deliver to a Holder the applicable Conversion Shares by the Share Delivery Date pursuant to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(excluding any brokerage commissions) and (B) at the option of such Holder, either reissue (if surrendered) the shares of Preferred Stock equal to the number of shares of Preferred Stock submitted for conversion for which the conversion was not honored (in which case, such conversion shall be deemed rescinded)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For example, if a Holder purchases shares of Common Stock having a total purchase price of $11,000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evidence of the amount of such loss. If a Holder purchases shares of Common Stock having a total purchase price of $9,000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preceding sentence, the Corporation shall not be required to pay Holder any amount. For the avoidance of doubt, in the event of a Buy-In, the Holder shall use commercially reasonable efforts to purchase shares at the lowest available price, paying the lowest reasonably available brokerage</w:t>
      </w:r>
    </w:p>
    <w:p>
      <w:pPr>
        <w:spacing w:after="0" w:line="1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20"/>
          </w:cols>
          <w:pgMar w:left="1420" w:top="270" w:right="459" w:bottom="1440" w:gutter="0" w:footer="0" w:header="0"/>
        </w:sectPr>
      </w:pPr>
    </w:p>
    <w:bookmarkStart w:id="28" w:name="page29"/>
    <w:bookmarkEnd w:id="28"/>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The Holder shall provide the Corporation written notice indicating the amounts payable to such Holder in respect of the Buy-In and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Conversion Shares upon conversion of the shares of Preferred Stock as required pursuant to the terms hereof.</w:t>
      </w:r>
    </w:p>
    <w:p>
      <w:pPr>
        <w:spacing w:after="0" w:line="75" w:lineRule="exact"/>
        <w:rPr>
          <w:sz w:val="20"/>
          <w:szCs w:val="20"/>
          <w:color w:val="auto"/>
        </w:rPr>
      </w:pPr>
    </w:p>
    <w:p>
      <w:pPr>
        <w:ind w:right="60" w:firstLine="408"/>
        <w:spacing w:after="0" w:line="25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xml:space="preserve">. The Corporation covenants that it will at all times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be issuable (taking into account the adjustments and restrictions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upon the conversion of the then outstanding shares of Preferred Stock (assuming for such purpose a Conversion Price equal to the Floor Price and any such conversions are made without regard to any limitations on conversion set forth herein). The Corporation covenants that all shares of Common Stock that shall be so issuable shall, upon issue, in accordance with this Certificate of Designation, be duly authorized, validly issued, fully paid and nonassessable.</w:t>
      </w:r>
    </w:p>
    <w:p>
      <w:pPr>
        <w:spacing w:after="0" w:line="83" w:lineRule="exact"/>
        <w:rPr>
          <w:rFonts w:ascii="Times New Roman" w:cs="Times New Roman" w:eastAsia="Times New Roman" w:hAnsi="Times New Roman"/>
          <w:sz w:val="18"/>
          <w:szCs w:val="18"/>
          <w:color w:val="auto"/>
        </w:rPr>
      </w:pPr>
    </w:p>
    <w:p>
      <w:pPr>
        <w:ind w:firstLine="408"/>
        <w:spacing w:after="0" w:line="256" w:lineRule="auto"/>
        <w:tabs>
          <w:tab w:leader="none" w:pos="7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79" w:lineRule="exact"/>
        <w:rPr>
          <w:rFonts w:ascii="Times New Roman" w:cs="Times New Roman" w:eastAsia="Times New Roman" w:hAnsi="Times New Roman"/>
          <w:sz w:val="18"/>
          <w:szCs w:val="18"/>
          <w:color w:val="auto"/>
        </w:rPr>
      </w:pPr>
    </w:p>
    <w:p>
      <w:pPr>
        <w:ind w:right="60" w:firstLine="408"/>
        <w:spacing w:after="0" w:line="255" w:lineRule="auto"/>
        <w:tabs>
          <w:tab w:leader="none" w:pos="7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xml:space="preserve">. The issuance of Conversion Shares on conversion of this Preferred Stock shall be made without charge to any Holder for any documentary stamp or similar taxes that may be payable in respect of the issue or delivery of such Conversion Shares,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40"/>
          </w:cols>
          <w:pgMar w:left="1420" w:top="270" w:right="439" w:bottom="1440" w:gutter="0" w:footer="0" w:header="0"/>
        </w:sectPr>
      </w:pPr>
    </w:p>
    <w:bookmarkStart w:id="29" w:name="page30"/>
    <w:bookmarkEnd w:id="29"/>
    <w:p>
      <w:pPr>
        <w:ind w:firstLine="419"/>
        <w:spacing w:after="0" w:line="251"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Limitation</w:t>
      </w:r>
      <w:r>
        <w:rPr>
          <w:rFonts w:ascii="Times New Roman" w:cs="Times New Roman" w:eastAsia="Times New Roman" w:hAnsi="Times New Roman"/>
          <w:sz w:val="18"/>
          <w:szCs w:val="18"/>
          <w:color w:val="auto"/>
        </w:rPr>
        <w:t xml:space="preserve">. A Holder may notify the Corporation in writing in the event it elects to be subject to the provisions contained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however, no Holder shall be subject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unless he, she or it makes such election. If the election is made, (i) the Corporation shall not effect any conversion of the Preferred Stock, and such Holder shall not have the right to convert all or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4.9%, 9.9%, or 19.9% of the Corporation’s Common Stock (or such other amount as a Holder may specify)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and (ii) the Corporation shall not permit the Holder to vote, and such Holder shall not have the right vote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of this Certificate of Designation, all or any portion of the Preferred Stock that such Holder is not permitted to convert pursuant to the preceding clause (i) (provided, however, that such Holder shall retain the right to vote pursuant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of this Certificate of Designation to the extent that retaining such right does not cause such Holder to be deemed to beneficially own Conversion Shares within the meaning of Rule 13d-3 promulgated under the Exchange Act).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beneficially owned by such Holder or any of its Affiliates or Attribution Parties. Except as set forth in the preceding sentence, for purposes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To the extent that the limitation contained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Holder shall provide the Corporation with any information reasonably requested by the Corporation in connection with this Beneficial Ownership Limitation and the provisions related thereto, in each case with respect to the Corporation’s reporting obligations pursuant to the Securities Act, the Exchange Act, or other federal or</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80" w:top="270" w:right="439" w:bottom="1440" w:gutter="0" w:footer="0" w:header="0"/>
        </w:sectPr>
      </w:pPr>
    </w:p>
    <w:bookmarkStart w:id="30" w:name="page31"/>
    <w:bookmarkEnd w:id="30"/>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 securities regulations. For purposes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(which may be via email) of a Holder, the Corporation shall within two Trading Days confirm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By written notice to the Corporation, a Holder may from time to time increase or decrease the Beneficial Ownership Limitation applicable to such Holder, provided, however, that any such increase in the Beneficial Ownership Limitation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Corporation.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53" w:lineRule="auto"/>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xml:space="preserve">.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or any cash distributions),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each of the Conversion Price and the Floor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70" w:right="439" w:bottom="1440" w:gutter="0" w:footer="0" w:header="0"/>
        </w:sectPr>
      </w:pPr>
    </w:p>
    <w:bookmarkStart w:id="31" w:name="page32"/>
    <w:bookmarkEnd w:id="31"/>
    <w:p>
      <w:pPr>
        <w:ind w:right="40" w:firstLine="419"/>
        <w:spacing w:after="0" w:line="217"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VWAP Reset</w:t>
      </w:r>
      <w:r>
        <w:rPr>
          <w:rFonts w:ascii="Times New Roman" w:cs="Times New Roman" w:eastAsia="Times New Roman" w:hAnsi="Times New Roman"/>
          <w:sz w:val="18"/>
          <w:szCs w:val="18"/>
          <w:color w:val="auto"/>
        </w:rPr>
        <w:t>. If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six months after the Closing Date, the VWAP (the “</w:t>
      </w:r>
      <w:r>
        <w:rPr>
          <w:rFonts w:ascii="Times New Roman" w:cs="Times New Roman" w:eastAsia="Times New Roman" w:hAnsi="Times New Roman"/>
          <w:sz w:val="18"/>
          <w:szCs w:val="18"/>
          <w:b w:val="1"/>
          <w:bCs w:val="1"/>
          <w:color w:val="auto"/>
        </w:rPr>
        <w:t>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is less than the Conversion Price then in effect, then the Conversion Price then in effect shall be reduced to an amount equal to the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the Measurement Price and (ii) $8.00. In addition, if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nine months after the Closing Date, the VWAP (the “</w:t>
      </w:r>
      <w:r>
        <w:rPr>
          <w:rFonts w:ascii="Times New Roman" w:cs="Times New Roman" w:eastAsia="Times New Roman" w:hAnsi="Times New Roman"/>
          <w:sz w:val="18"/>
          <w:szCs w:val="18"/>
          <w:b w:val="1"/>
          <w:bCs w:val="1"/>
          <w:color w:val="auto"/>
        </w:rPr>
        <w:t>Second Measurement Price</w:t>
      </w:r>
      <w:r>
        <w:rPr>
          <w:rFonts w:ascii="Times New Roman" w:cs="Times New Roman" w:eastAsia="Times New Roman" w:hAnsi="Times New Roman"/>
          <w:sz w:val="18"/>
          <w:szCs w:val="18"/>
          <w:color w:val="auto"/>
        </w:rPr>
        <w:t>”) is less than the Conversion Price then in effect, then the Conversion Price then in effect shall be reduced to an amount equal to the greater of (i) the Second Measurement Price and (ii) $6.00.</w:t>
      </w:r>
    </w:p>
    <w:p>
      <w:pPr>
        <w:spacing w:after="0" w:line="89" w:lineRule="exact"/>
        <w:rPr>
          <w:rFonts w:ascii="Times New Roman" w:cs="Times New Roman" w:eastAsia="Times New Roman" w:hAnsi="Times New Roman"/>
          <w:sz w:val="18"/>
          <w:szCs w:val="18"/>
          <w:color w:val="auto"/>
        </w:rPr>
      </w:pPr>
    </w:p>
    <w:p>
      <w:pPr>
        <w:ind w:firstLine="419"/>
        <w:spacing w:after="0" w:line="253" w:lineRule="auto"/>
        <w:tabs>
          <w:tab w:leader="none" w:pos="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xml:space="preserve">. If and whenever on or after the Closing Date until the first date on which no shares of Preferred Stock are outstanding the Corporation issues or sells, or in accordance with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is deemed to have issued or sold, any shares of Common Stock (including the issuance or sale of shares of Common Stock owned or held by or for the account of the Corporation, </w:t>
      </w:r>
      <w:r>
        <w:rPr>
          <w:rFonts w:ascii="Times New Roman" w:cs="Times New Roman" w:eastAsia="Times New Roman" w:hAnsi="Times New Roman"/>
          <w:sz w:val="18"/>
          <w:szCs w:val="18"/>
          <w:i w:val="1"/>
          <w:iCs w:val="1"/>
          <w:color w:val="auto"/>
        </w:rPr>
        <w:t>but</w:t>
      </w:r>
      <w:r>
        <w:rPr>
          <w:rFonts w:ascii="Times New Roman" w:cs="Times New Roman" w:eastAsia="Times New Roman" w:hAnsi="Times New Roman"/>
          <w:sz w:val="18"/>
          <w:szCs w:val="18"/>
          <w:color w:val="auto"/>
        </w:rPr>
        <w:t xml:space="preserve"> excluding shares of Common Stock issued or sold, or deemed to have been issued or sold, by the Corporation in connection with any Exempt Issuance)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the Conversion Price then in effect (each such issue, sale or deemed issuance or sale,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where the aggregate amount of consideration received by the Corporation, together with all prior issuances and sales conducted for the purpose of raising capital by the Corporation on or after the Closing Date that were excluded from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by this clause, exceeds $500,000,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following shall be applicable:</w:t>
      </w:r>
    </w:p>
    <w:p>
      <w:pPr>
        <w:spacing w:after="0" w:line="86"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Common Stock issued or deemed to have been issued pursuant to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relating to Options and Convertible Securities, shall be determined by dividing: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-1214120</wp:posOffset>
            </wp:positionV>
            <wp:extent cx="174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47" w:lineRule="exact"/>
        <w:rPr>
          <w:sz w:val="20"/>
          <w:szCs w:val="20"/>
          <w:color w:val="auto"/>
        </w:rPr>
      </w:pPr>
    </w:p>
    <w:p>
      <w:pPr>
        <w:ind w:left="1520" w:right="140" w:hanging="533"/>
        <w:spacing w:after="0" w:line="256" w:lineRule="auto"/>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2" w:lineRule="exact"/>
        <w:rPr>
          <w:rFonts w:ascii="Times New Roman" w:cs="Times New Roman" w:eastAsia="Times New Roman" w:hAnsi="Times New Roman"/>
          <w:sz w:val="18"/>
          <w:szCs w:val="18"/>
          <w:color w:val="auto"/>
        </w:rPr>
      </w:pPr>
    </w:p>
    <w:p>
      <w:pPr>
        <w:ind w:left="1520" w:right="300" w:hanging="533"/>
        <w:spacing w:after="0" w:line="266" w:lineRule="auto"/>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number of shares of Common Stock (as set forth in the instruments relating thereto, without regard to any provision contained therein for a subsequent adjustment of such number) deemed to be issued pursuant to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xml:space="preserve"> upon the issuance of such Options or Convertible Securities.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66" w:right="459" w:bottom="1440" w:gutter="0" w:footer="0" w:header="0"/>
        </w:sectPr>
      </w:pPr>
    </w:p>
    <w:bookmarkStart w:id="32" w:name="page33"/>
    <w:bookmarkEnd w:id="32"/>
    <w:p>
      <w:pPr>
        <w:ind w:left="660" w:hanging="27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Issuance of Options and Convertible Securities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3"/>
        <w:spacing w:after="0" w:line="254"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outstanding and to have been issued as of the time of such issue or, in case such a record date shall have been fixed, as of the close of business on such record date.</w:t>
      </w:r>
    </w:p>
    <w:p>
      <w:pPr>
        <w:spacing w:after="0" w:line="97" w:lineRule="exact"/>
        <w:rPr>
          <w:rFonts w:ascii="Times New Roman" w:cs="Times New Roman" w:eastAsia="Times New Roman" w:hAnsi="Times New Roman"/>
          <w:sz w:val="18"/>
          <w:szCs w:val="18"/>
          <w:color w:val="auto"/>
        </w:rPr>
      </w:pPr>
    </w:p>
    <w:p>
      <w:pPr>
        <w:ind w:left="960" w:right="340" w:hanging="533"/>
        <w:spacing w:after="0" w:line="257"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(other than</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proportional changes in conversion or exercise prices, as applicable, in connection with an event referred to in</w:t>
      </w:r>
    </w:p>
    <w:p>
      <w:pPr>
        <w:spacing w:after="0" w:line="9" w:lineRule="exact"/>
        <w:rPr>
          <w:sz w:val="20"/>
          <w:szCs w:val="20"/>
          <w:color w:val="auto"/>
        </w:rPr>
      </w:pPr>
    </w:p>
    <w:p>
      <w:pPr>
        <w:ind w:left="9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and (ii) automatic adjustments to such terms pursuant to anti-dilution or similar provisions of such Option or Convertible Security which are not more favorable to the holder thereof than the anti-dilution and similar provisions set forth herein),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if the terms of any Option or Convertible Security that was outstanding as of the date of first issuance of a share of Preferred Stock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xml:space="preserve"> shall be made if such adjustment would result in an increase of the Conversion Price then in effect.</w:t>
      </w:r>
    </w:p>
    <w:p>
      <w:pPr>
        <w:spacing w:after="0" w:line="1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70" w:right="459" w:bottom="1440" w:gutter="0" w:footer="0" w:header="0"/>
        </w:sectPr>
      </w:pPr>
    </w:p>
    <w:bookmarkStart w:id="33" w:name="page34"/>
    <w:bookmarkEnd w:id="33"/>
    <w:p>
      <w:pPr>
        <w:ind w:left="700" w:hanging="312"/>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of Consideration Received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3"/>
        <w:spacing w:after="0" w:line="258"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one or more Option is issued in connection with the issue or sale of other securities of the Corporation, together comprising one integrated transaction, (x) each such Option will be deemed to have been issued for the Option Value of such Option and (y) the other securities issued or sold in such integrated transaction shall be deemed to have been issued or sold for the difference of (I) the aggregate consideration received by the Corporation less any consideration paid or payable by the Corporation pursuant to the terms of such other securities of the Corporation, less (II) the Option Value of each such Option.</w:t>
      </w:r>
    </w:p>
    <w:p>
      <w:pPr>
        <w:spacing w:after="0" w:line="88" w:lineRule="exact"/>
        <w:rPr>
          <w:rFonts w:ascii="Times New Roman" w:cs="Times New Roman" w:eastAsia="Times New Roman" w:hAnsi="Times New Roman"/>
          <w:sz w:val="18"/>
          <w:szCs w:val="18"/>
          <w:color w:val="auto"/>
        </w:rPr>
      </w:pPr>
    </w:p>
    <w:p>
      <w:pPr>
        <w:ind w:left="960" w:hanging="533"/>
        <w:spacing w:after="0" w:line="252"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Common Stock, Options or Convertible Securities are issued or sold or deemed to have been issued or sold for cash, the consideration other than cash received therefor will be deemed to be the net amount received by the Corporation therefor. If any shares of Common Stock, Options or Convertible Securities are issued or sold for a consideration other than cash, the amount of such consideration received by the Corporation will be the fair value of such consideration, except where such consideration consists of publicly traded securities, in which case the amount of consideration received by the Corporation will be the VWAP of such publicly traded securities on the date of receipt. If any shares of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Corporation and the Required Holders.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Business Days after the tenth (10th) day following the Valuation Event by an independent, reputable appraiser jointly selected by the Corporation and the Required Holders. The determination of such appraiser shall be final and binding upon all parties absent manifest error and the fees and expenses of such appraiser shall be borne by the Corporation.</w:t>
      </w:r>
    </w:p>
    <w:p>
      <w:pPr>
        <w:spacing w:after="0" w:line="86" w:lineRule="exact"/>
        <w:rPr>
          <w:rFonts w:ascii="Times New Roman" w:cs="Times New Roman" w:eastAsia="Times New Roman" w:hAnsi="Times New Roman"/>
          <w:sz w:val="18"/>
          <w:szCs w:val="18"/>
          <w:color w:val="auto"/>
        </w:rPr>
      </w:pPr>
    </w:p>
    <w:p>
      <w:pPr>
        <w:ind w:left="-20" w:right="20" w:firstLine="408"/>
        <w:spacing w:after="0" w:line="258"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Corporation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34" w:name="page35"/>
    <w:bookmarkEnd w:id="34"/>
    <w:p>
      <w:pPr>
        <w:ind w:left="540" w:firstLine="408"/>
        <w:spacing w:after="0" w:line="261" w:lineRule="auto"/>
        <w:tabs>
          <w:tab w:leader="none" w:pos="11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or Termination of Options or Convertible Securities</w:t>
      </w:r>
      <w:r>
        <w:rPr>
          <w:rFonts w:ascii="Times New Roman" w:cs="Times New Roman" w:eastAsia="Times New Roman" w:hAnsi="Times New Roman"/>
          <w:sz w:val="18"/>
          <w:szCs w:val="18"/>
          <w:color w:val="auto"/>
        </w:rPr>
        <w:t xml:space="preserve">. Upon the expiration or termination of any unexercised Option or unconverted or unexchanged Convertible Securities (or portion thereof) which resulted (either upon its original issuance or upon a revision of its terms) in an adjustment to the Conversion Price pursuant to the terms of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Conversion Price shall be readjusted to such Conversion Price as would have obtained had such Option or Convertible Securities (or portion thereof) never been issued.</w:t>
      </w:r>
    </w:p>
    <w:p>
      <w:pPr>
        <w:spacing w:after="0" w:line="71"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Holders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conversion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To the extent that the issue price of such Purchase Rights would result in an adjustment of the Conversion Price pursuant to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such adjustment shall not occur to the extent the Holders were granted the right to acquire such Purchase Rights on the applicable terms.</w:t>
      </w:r>
    </w:p>
    <w:p>
      <w:pPr>
        <w:spacing w:after="0" w:line="89" w:lineRule="exact"/>
        <w:rPr>
          <w:rFonts w:ascii="Times New Roman" w:cs="Times New Roman" w:eastAsia="Times New Roman" w:hAnsi="Times New Roman"/>
          <w:sz w:val="18"/>
          <w:szCs w:val="18"/>
          <w:color w:val="auto"/>
        </w:rPr>
      </w:pPr>
    </w:p>
    <w:p>
      <w:pPr>
        <w:ind w:right="80" w:firstLine="419"/>
        <w:spacing w:after="0" w:line="254"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In addition to the requirements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in any voluntary or involuntary liquidation, dissolution or winding up of the Corporation or Deemed Liquidation Event)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in each such case, the Holders shall be entitled to participate in such Distribution to the same extent that the Holders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such grant, issuance or sale, as its right thereto would not result in the Holder exceeding the Beneficial Ownership Limitation).</w:t>
      </w:r>
    </w:p>
    <w:p>
      <w:pPr>
        <w:spacing w:after="0" w:line="79" w:lineRule="exact"/>
        <w:rPr>
          <w:sz w:val="20"/>
          <w:szCs w:val="20"/>
          <w:color w:val="auto"/>
        </w:rPr>
      </w:pPr>
    </w:p>
    <w:p>
      <w:pPr>
        <w:ind w:left="640" w:hanging="221"/>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while this Preferred Stock is outstanding, (i) the Corporation, directly or indirectly, in one or more related transactions effects any merger or consolidation of the Corporation with or into another Person, (ii) the Corporation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Corporation,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or</w:t>
      </w:r>
    </w:p>
    <w:p>
      <w:pPr>
        <w:spacing w:after="0" w:line="5" w:lineRule="exact"/>
        <w:rPr>
          <w:rFonts w:ascii="Times New Roman" w:cs="Times New Roman" w:eastAsia="Times New Roman" w:hAnsi="Times New Roman"/>
          <w:sz w:val="18"/>
          <w:szCs w:val="18"/>
          <w:color w:val="auto"/>
        </w:rPr>
      </w:pPr>
    </w:p>
    <w:p>
      <w:pPr>
        <w:ind w:left="540" w:right="20" w:firstLine="7"/>
        <w:spacing w:after="0" w:line="251" w:lineRule="auto"/>
        <w:tabs>
          <w:tab w:leader="none" w:pos="7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50% or more of the outstanding shares of Common Stock or 50% or more of the voting power of the common equity of the Corporation, and such event(s) do not constitute a Deemed Liquidation Event (each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upon any subsequent conversion of this Preferred Stock, the Holder shall have the right to receive,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Share that would have been issuable upon such conversion immediately prior to the occurrence of such Fundamental Transaction (without regard to any limitation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on the conversion of this Preferred Stock), the number of shares of capital stock of the successor or acquiring corporation or of the Corporation, if it is the surviving corporation, and any additional consideration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Preferred Stock is convertible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on the conversion of this Preferred Stock).</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36" w:name="page37"/>
    <w:bookmarkEnd w:id="36"/>
    <w:p>
      <w:pPr>
        <w:ind w:left="540" w:firstLine="408"/>
        <w:spacing w:after="0" w:line="254" w:lineRule="auto"/>
        <w:tabs>
          <w:tab w:leader="none" w:pos="12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w:t>
      </w:r>
    </w:p>
    <w:p>
      <w:pPr>
        <w:spacing w:after="0" w:line="80"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cause any successor entity in a Fundamental Transaction in which the Corporation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to assume in writing all of the obligations of the Corporation under this Certificate of Designation in accordance with the provisions of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pursuant to written agreements in form and substance reasonably satisfactory to the Required Holders and approved by the Required Holders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Required Holders.</w:t>
      </w:r>
    </w:p>
    <w:p>
      <w:pPr>
        <w:spacing w:after="0" w:line="79" w:lineRule="exact"/>
        <w:rPr>
          <w:rFonts w:ascii="Times New Roman" w:cs="Times New Roman" w:eastAsia="Times New Roman" w:hAnsi="Times New Roman"/>
          <w:sz w:val="18"/>
          <w:szCs w:val="18"/>
          <w:color w:val="auto"/>
        </w:rPr>
      </w:pPr>
    </w:p>
    <w:p>
      <w:pPr>
        <w:jc w:val="both"/>
        <w:ind w:right="80" w:firstLine="419"/>
        <w:spacing w:after="0" w:line="224"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made to the nearest cent or the nearest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as the case may be.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80" w:top="270" w:right="439" w:bottom="1440" w:gutter="0" w:footer="0" w:header="0"/>
        </w:sectPr>
      </w:pPr>
    </w:p>
    <w:bookmarkStart w:id="37" w:name="page38"/>
    <w:bookmarkEnd w:id="37"/>
    <w:p>
      <w:pPr>
        <w:ind w:left="261" w:hanging="261"/>
        <w:spacing w:after="0"/>
        <w:tabs>
          <w:tab w:leader="none" w:pos="2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240" w:firstLine="408"/>
        <w:spacing w:after="0" w:line="266" w:lineRule="auto"/>
        <w:tabs>
          <w:tab w:leader="none" w:pos="7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xml:space="preserve">. Whenever the Conversion Price is adjusted pursuant to any provision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Corporation shall promptly deliver to each Holder by email a notice setting forth the Conversion Price after such adjustment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121" w:firstLine="408"/>
        <w:spacing w:after="0" w:line="251" w:lineRule="auto"/>
        <w:tabs>
          <w:tab w:leader="none" w:pos="78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Conversion by Holder</w:t>
      </w:r>
      <w:r>
        <w:rPr>
          <w:rFonts w:ascii="Times New Roman" w:cs="Times New Roman" w:eastAsia="Times New Roman" w:hAnsi="Times New Roman"/>
          <w:sz w:val="18"/>
          <w:szCs w:val="18"/>
          <w:color w:val="auto"/>
        </w:rPr>
        <w:t xml:space="preserve">. If (A) the Corporation shall declare a dividend (or any other distribution in whatever form) on the Common Stock, (B) the Corporation shall declare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(and all of its Subsidiaries, taken as a whole),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email address as it shall appear upon the stock books of the Corporation,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unless determined by the Corporation that such filing would be harmful to the Corporation at such time, in which case the Corporation shall file such 8-K as soon as is reasonably practicable in its discretion. For the avoidance of doubt, and without limiting the conversion rights of any Holder, each Holder shall remain entitled to convert its Preferred Stock (in whole or in part) during the twenty (20)-day period commencing on the date of such notice through the effective date of the event triggering such notice except as may otherwise be expressly set forth herein.</w:t>
      </w:r>
    </w:p>
    <w:p>
      <w:pPr>
        <w:spacing w:after="0" w:line="13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41"/>
          </w:cols>
          <w:pgMar w:left="1299" w:top="270" w:right="459" w:bottom="1440" w:gutter="0" w:footer="0" w:header="0"/>
        </w:sectPr>
      </w:pPr>
    </w:p>
    <w:bookmarkStart w:id="38" w:name="page39"/>
    <w:bookmarkEnd w:id="3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20" w:firstLine="419"/>
        <w:spacing w:after="0" w:line="312" w:lineRule="auto"/>
        <w:tabs>
          <w:tab w:leader="none" w:pos="66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by the Corporation</w:t>
      </w:r>
      <w:r>
        <w:rPr>
          <w:rFonts w:ascii="Times New Roman" w:cs="Times New Roman" w:eastAsia="Times New Roman" w:hAnsi="Times New Roman"/>
          <w:sz w:val="17"/>
          <w:szCs w:val="17"/>
          <w:color w:val="auto"/>
        </w:rPr>
        <w:t xml:space="preserve">. Subject to the provisions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unless prohibited by applicable law governing distributions to stockholders, the Corporation may, in its sole discretion, redeem all or a portion of the outstanding shares of Preferred Stock:</w:t>
      </w:r>
    </w:p>
    <w:p>
      <w:pPr>
        <w:spacing w:after="0" w:line="31" w:lineRule="exact"/>
        <w:rPr>
          <w:rFonts w:ascii="Times New Roman" w:cs="Times New Roman" w:eastAsia="Times New Roman" w:hAnsi="Times New Roman"/>
          <w:sz w:val="17"/>
          <w:szCs w:val="17"/>
          <w:color w:val="auto"/>
        </w:rPr>
      </w:pPr>
    </w:p>
    <w:p>
      <w:pPr>
        <w:ind w:left="540" w:right="600" w:firstLine="408"/>
        <w:spacing w:after="0" w:line="282" w:lineRule="auto"/>
        <w:tabs>
          <w:tab w:leader="none" w:pos="1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anniversary of the Closing Date, at a redemption price per share equal to 150%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first anniversary of the Closing Date but prior to the second anniversary of the Closing Date, at a redemption price per share equal to 140%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second anniversary of the Closing Date but prior to the third anniversary of the Closing Date, at a redemption price per share equal to 130%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the Closing Date but prior to the fourth anniversary of the Closing Date, at a redemption price per share equal to 120%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fourth anniversary of the Closing Date but prior to the fifth anniversary of the Closing Date, at a redemption price per share equal to 110% of the Accrued Value plus Accrued but Unpaid Dividends on such share; and</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fifth anniversary of the Closing Date, at a redemption price per share equal to 100% of the Accrued Value plus Accrued but Unpaid Dividends on such share.</w:t>
      </w:r>
    </w:p>
    <w:p>
      <w:pPr>
        <w:spacing w:after="0" w:line="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on the date of such redemption, applicable law governing distributions to stockholders prevents the Corporation from redeeming all shares of Preferred Stock scheduled to be redeemed, the Corporation shall be entitled to ratably redeem the maximum number of shares that it may redeem consistent with such law and any Preferred Stock not so redeemed shall remain outstanding. The Corporation shall provide written notice (the “</w:t>
      </w:r>
      <w:r>
        <w:rPr>
          <w:rFonts w:ascii="Times New Roman" w:cs="Times New Roman" w:eastAsia="Times New Roman" w:hAnsi="Times New Roman"/>
          <w:sz w:val="18"/>
          <w:szCs w:val="18"/>
          <w:b w:val="1"/>
          <w:bCs w:val="1"/>
          <w:color w:val="auto"/>
        </w:rPr>
        <w:t>Corporation Notice</w:t>
      </w:r>
      <w:r>
        <w:rPr>
          <w:rFonts w:ascii="Times New Roman" w:cs="Times New Roman" w:eastAsia="Times New Roman" w:hAnsi="Times New Roman"/>
          <w:sz w:val="18"/>
          <w:szCs w:val="18"/>
          <w:color w:val="auto"/>
        </w:rPr>
        <w:t xml:space="preserve">”) by e-mail and first class mail postage prepaid, to each Holder of record (determined at the close of business on the Business Day next preceding the day on which the Corporation Notice is given) of the Preferred Stock to be redeemed, at the address last shown on the records of the Corporation for such Holder, notifying such Holder of the redemption to be effected, specifying the number of shares to be redeemed from such Holder, specifying the date of such redemption, the redemption price, the place at which payment may be obtained and calling upon such Holder to surrender to the Corporation, in the manner and at the place designated, his, her or its certificate or certificates representing the shares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date of redemption shall be not less than 15 days from the date of the Corporation Notice. Except as otherwise provided herein, on or after the applicable date of redemption, each Holder to be redeemed shall surrender to the Corporation the certificate or certificates representing such shares, in the manner and at the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 designated in the Corporation Notice, and thereupon the price of redemption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 Notwithstanding anything herein to the contrary, each Holder shall remain entitled to convert all or a portion of its Preferred Stock at any time and from time to time during the 15-day period commencing on the date of the Corporation Notice through the applicable date of redemption.</w:t>
      </w:r>
    </w:p>
    <w:p>
      <w:pPr>
        <w:spacing w:after="0" w:line="75" w:lineRule="exact"/>
        <w:rPr>
          <w:sz w:val="20"/>
          <w:szCs w:val="20"/>
          <w:color w:val="auto"/>
        </w:rPr>
      </w:pPr>
    </w:p>
    <w:p>
      <w:pPr>
        <w:ind w:left="680" w:hanging="26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the 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5" w:lineRule="auto"/>
        <w:tabs>
          <w:tab w:leader="none" w:pos="115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applicable law governing distribution to stockholders, shares of Preferred Stock owned by a requesting Holder shall be redeemed by the Corporation at a purchase price equal to the Accrued Value plus Accrued but Unpaid Dividends on such shares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if at any time and from time to time after the fifth anniversary of the Closing Date, a Holder delivers to the Corporation a written notice demanding redemption of all of such Holder’s shares of Preferred Stock (the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The 180th day after the date of such notice shall be referred to as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Upon receipt of a Redemption Request, the Corporation shall apply all of its assets to any such redemption, and to no other corporate purpose, until the Redemption Price has been paid in full, except to the extent prohibited by Delaware law governing distributions to stockholders.</w:t>
      </w:r>
    </w:p>
    <w:p>
      <w:pPr>
        <w:spacing w:after="0" w:line="80"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Redemption Request, the Corporation shall send written notice of the mandatory redemption (the</w:t>
      </w:r>
    </w:p>
    <w:p>
      <w:pPr>
        <w:spacing w:after="0" w:line="27" w:lineRule="exact"/>
        <w:rPr>
          <w:sz w:val="20"/>
          <w:szCs w:val="20"/>
          <w:color w:val="auto"/>
        </w:rPr>
      </w:pPr>
    </w:p>
    <w:p>
      <w:pPr>
        <w:ind w:left="540" w:right="3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the redeeming Holder of record of Preferred Stock not less than 15 days prior to the Redemption Date. The Redemption Notice shall state:</w:t>
      </w:r>
    </w:p>
    <w:p>
      <w:pPr>
        <w:spacing w:after="0" w:line="87" w:lineRule="exact"/>
        <w:rPr>
          <w:sz w:val="20"/>
          <w:szCs w:val="20"/>
          <w:color w:val="auto"/>
        </w:rPr>
      </w:pPr>
    </w:p>
    <w:p>
      <w:pPr>
        <w:ind w:left="1520" w:hanging="533"/>
        <w:spacing w:after="0"/>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held by the Holder that the Corporation shall redeem on the Redemption Date;</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and</w:t>
      </w:r>
    </w:p>
    <w:p>
      <w:pPr>
        <w:spacing w:after="0" w:line="130" w:lineRule="exact"/>
        <w:rPr>
          <w:rFonts w:ascii="Times New Roman" w:cs="Times New Roman" w:eastAsia="Times New Roman" w:hAnsi="Times New Roman"/>
          <w:sz w:val="18"/>
          <w:szCs w:val="18"/>
          <w:color w:val="auto"/>
        </w:rPr>
      </w:pPr>
    </w:p>
    <w:p>
      <w:pPr>
        <w:ind w:left="1520" w:right="220" w:hanging="533"/>
        <w:spacing w:after="0" w:line="282" w:lineRule="auto"/>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53" w:lineRule="exact"/>
        <w:rPr>
          <w:rFonts w:ascii="Times New Roman" w:cs="Times New Roman" w:eastAsia="Times New Roman" w:hAnsi="Times New Roman"/>
          <w:sz w:val="18"/>
          <w:szCs w:val="18"/>
          <w:color w:val="auto"/>
        </w:rPr>
      </w:pPr>
    </w:p>
    <w:p>
      <w:pPr>
        <w:ind w:left="540" w:firstLine="408"/>
        <w:spacing w:after="0" w:line="255" w:lineRule="auto"/>
        <w:tabs>
          <w:tab w:leader="none" w:pos="12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Date, the Corporation shall redeem the Preferred Stock owned by such Holder. If on the Redemption Date Delaware law governing distributions to stockholders prevents the Corporation from redeeming all shares of Preferred Stock to be redeemed, the Corporation shall ratably redeem the maximum number of shares that it may redeem consistent with such law, and shall redeem the remaining shares as soon as it may lawfully do so under such law. In the event that any portion of the Redemption Price has not been paid within five Business Days following the Redemption Date, interest on such unpaid portion of the Redemption Price shall accrue thereon until such amount is paid in full at a rate equal to the lesser of (i) 24.0% per annum and (ii) the maximum rate permitted under applicable law.</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40" w:name="page41"/>
    <w:bookmarkEnd w:id="40"/>
    <w:p>
      <w:pPr>
        <w:ind w:left="4" w:right="20" w:firstLine="419"/>
        <w:spacing w:after="0" w:line="266" w:lineRule="auto"/>
        <w:tabs>
          <w:tab w:leader="none" w:pos="6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Subsequent to Redemption</w:t>
      </w:r>
      <w:r>
        <w:rPr>
          <w:rFonts w:ascii="Times New Roman" w:cs="Times New Roman" w:eastAsia="Times New Roman" w:hAnsi="Times New Roman"/>
          <w:sz w:val="18"/>
          <w:szCs w:val="18"/>
          <w:color w:val="auto"/>
        </w:rPr>
        <w:t xml:space="preserve">. Upon the redemption of shares of Preferred Stock pursuant to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all rights with respect to such shares of Preferred Stock shall immediately terminate, except with respect to the right of the Holders to receive the applicable redemption price with respect to such shares of Preferred Stock in accordance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66" w:lineRule="auto"/>
        <w:tabs>
          <w:tab w:leader="none" w:pos="67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Conversion, shall be in writing and delivered personally, by e-mail, or sent by nationally recognized overnight courier service, addressed to the Corporation, at the address set forth in the Corporation’s most recently filed Current Report on Form 8-K or email address most recently provided to Holders by the Corporation for purposes of notice hereunder Attention: Kodiak Legal, e-mail address legal@kodiak.ai, or such other e-mail address or address as the Corporation may specify for such purposes by notice to the Holders delivered in accordance with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or if no such facsimile number, e-mail address or address appears on the books of the Corporation, at the principal place of business of such Holder, as set forth in the applicable Purchase Agreement.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9" w:lineRule="exact"/>
        <w:rPr>
          <w:rFonts w:ascii="Times New Roman" w:cs="Times New Roman" w:eastAsia="Times New Roman" w:hAnsi="Times New Roman"/>
          <w:sz w:val="17"/>
          <w:szCs w:val="17"/>
          <w:color w:val="auto"/>
        </w:rPr>
      </w:pPr>
    </w:p>
    <w:p>
      <w:pPr>
        <w:ind w:left="4" w:right="380" w:hanging="4"/>
        <w:spacing w:after="0" w:line="260" w:lineRule="auto"/>
        <w:tabs>
          <w:tab w:leader="none" w:pos="3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w:t>
      </w:r>
    </w:p>
    <w:p>
      <w:pPr>
        <w:spacing w:after="0" w:line="73"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Absolute Obligation</w:t>
      </w:r>
      <w:r>
        <w:rPr>
          <w:rFonts w:ascii="Times New Roman" w:cs="Times New Roman" w:eastAsia="Times New Roman" w:hAnsi="Times New Roman"/>
          <w:sz w:val="18"/>
          <w:szCs w:val="18"/>
          <w:color w:val="auto"/>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4"/>
          </w:cols>
          <w:pgMar w:left="876" w:top="270" w:right="479" w:bottom="1440" w:gutter="0" w:footer="0" w:header="0"/>
        </w:sectPr>
      </w:pPr>
    </w:p>
    <w:bookmarkStart w:id="41" w:name="page42"/>
    <w:bookmarkEnd w:id="41"/>
    <w:p>
      <w:pPr>
        <w:ind w:right="80" w:firstLine="419"/>
        <w:spacing w:after="0" w:line="256" w:lineRule="auto"/>
        <w:tabs>
          <w:tab w:leader="none" w:pos="6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Lost or Mutilated Preferred Stock Certificate</w:t>
      </w:r>
      <w:r>
        <w:rPr>
          <w:rFonts w:ascii="Times New Roman" w:cs="Times New Roman" w:eastAsia="Times New Roman" w:hAnsi="Times New Roman"/>
          <w:sz w:val="18"/>
          <w:szCs w:val="18"/>
          <w:color w:val="auto"/>
        </w:rPr>
        <w:t>. If a Holder’s Preferred Stock certificate shall be mutilated, lost, stolen or destroyed, the Corporation shall issue or cause to be issued,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 (which shall not include the posting of any bond). The applicant for a new certificate under such circumstances shall also pay any reasonable third-party costs (including customary indemnity) associated with the issuance of such replacement certificate.</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All legal proceedings concerning the interpretation, enforcement and defense of the transactions contemplated by this Certificate of Designation (whether brought against a party hereto or its respective Affiliates, directors, officers, shareholders, employees or agents) shall be commenced in the state and federal courts sitting in Delaware (the “</w:t>
      </w: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 The Corporation and each Holder hereby irrevocably submits to the exclusive jurisdiction of the Delaware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Delaware Courts, or such Delaware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w:t>
      </w:r>
    </w:p>
    <w:p>
      <w:pPr>
        <w:spacing w:after="0" w:line="87"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this Certificate of Designation (or any provision hereof) may be amended by obtaining the affirmative vote at a meeting duly called for such purpose, or written consent without a meeting in accordance with the Delaware General Corporation Law, of the Required Holders, voting separately as a single class, and with such other stockholder approval, if any, as may then be required pursuant to the DGCL and the Corporation’s certificate of incorporation; provided, however, and notwithstanding anything in this Certificate of Designation to the contrary, no provision of this Certificate of Designation shall be amended to the extent any such amendment would (i) disproportionately, materially and adversely modify any rights of any Holder (as compared to the rights of the other Holders) (ii) impose any additional financial obligations or liabilities on a Holder or (iii) amend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unless such amendment applies to all Holders in the same fashion, and, in each case, unless any such Holder shall have previously consented in</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70" w:right="47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writing to such amendment or voted to approve such amendment at a meeting. No consideration shall be offered or paid to any Holder to amend or consent to a waiver or modification of any provision of this Certificate of Designation unless the same consideration is also offered to all of the Holders. For clarification purposes, this provision constitutes a separate right granted to each Holder by the Corporation and negotiated separately by each Holder, and is intended for the Corporation to treat the Holders as a group and shall not in any way be construed as the Holders acting in concert or as a group with respect to the purchase, disposition or voting of securities or otherwise.</w:t>
      </w:r>
    </w:p>
    <w:p>
      <w:pPr>
        <w:spacing w:after="0" w:line="75" w:lineRule="exact"/>
        <w:rPr>
          <w:sz w:val="20"/>
          <w:szCs w:val="20"/>
          <w:color w:val="auto"/>
        </w:rPr>
      </w:pPr>
    </w:p>
    <w:p>
      <w:pPr>
        <w:ind w:right="100" w:firstLine="419"/>
        <w:spacing w:after="0" w:line="256" w:lineRule="auto"/>
        <w:tabs>
          <w:tab w:leader="none" w:pos="6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75"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53"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Redeemed Preferred Stock</w:t>
      </w:r>
      <w:r>
        <w:rPr>
          <w:rFonts w:ascii="Times New Roman" w:cs="Times New Roman" w:eastAsia="Times New Roman" w:hAnsi="Times New Roman"/>
          <w:sz w:val="18"/>
          <w:szCs w:val="18"/>
          <w:color w:val="auto"/>
        </w:rPr>
        <w:t>. Shares of Preferred Stock may only be issued pursuant to the Purchase Agreements. If any shares of Preferred Stock shall be converted, redeemed or reacquired by the Corporation, such shares shall resume the status of authorized but unissued shares of preferred stock and shall no longer be designated as 9.99% Series A Cumulative Convertible Preferred Stock.</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Corporation agrees that, provided that each Holder delivers to the Corporation a properly executed IRS Form W-9 or other certification satisfactory to the Corporation certifying as to such Holder’s status (or the status of such Holder’s beneficial owner(s) if the Holder is not treated as the beneficial owner of the applicable payment for applicable U.S. federal withholding tax purposes) as a United States person (within the meaning of Section 7701(a)(30) of the Code) and such Holder’s (or such</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43" w:name="page44"/>
    <w:bookmarkEnd w:id="4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 owners’) eligibility for complete exemption from backup withholding (“</w:t>
      </w:r>
      <w:r>
        <w:rPr>
          <w:rFonts w:ascii="Times New Roman" w:cs="Times New Roman" w:eastAsia="Times New Roman" w:hAnsi="Times New Roman"/>
          <w:sz w:val="18"/>
          <w:szCs w:val="18"/>
          <w:u w:val="single" w:color="auto"/>
          <w:color w:val="auto"/>
        </w:rPr>
        <w:t>U.S. Person Certification</w:t>
      </w:r>
      <w:r>
        <w:rPr>
          <w:rFonts w:ascii="Times New Roman" w:cs="Times New Roman" w:eastAsia="Times New Roman" w:hAnsi="Times New Roman"/>
          <w:sz w:val="18"/>
          <w:szCs w:val="18"/>
          <w:color w:val="auto"/>
        </w:rPr>
        <w:t>”), under current law the Corporation (including any paying agent of the Corporation) shall not be required to, and shall not, withhold U.S. federal tax on any payments or deemed payments to any such Holder, unless the Corporation has actual knowledge or reason to know such U.S. Person Certification is incorrect, the Corporation reasonably believes that a previously delivered U.S. Person Certification is no longer accurate and/or valid, or there is a change in law that affects the withholding obligations of the Corporation. Subject to the foregoing limitations, the Corporation and its paying agent shall be entitled to withhold taxes on all payments made or deemed made to the relevant Holder or to request that the relevant Holder promptly pay the Corporation in cash any amounts required to satisfy any withholding tax obligations, in each case, to the extent the Corporation or its paying agent determines in good faith it is required to deduct and withhold tax on payments or deemed payments to the relevant Holder under applicable law; provided, that the Corporation shall use commercially reasonable efforts to notify the relevant Holder of any required withholding tax reasonably in advance of the date of the relevant payment. In the event that the Corporation does not have sufficient cash with respect to any Holder from withholding on cash payments otherwise payable to such Holder and cash paid to the Corporation by such Holder to the Corporation pursuant to the immediately preceding sentence, the Corporation and its paying agent shall be entitled to withhold taxes on deemed payments, including distributions of additional Preferred Stock in lieu of cash and constructive distributions on the Preferred Stock to the extent required by law, and the Corporation and its paying agent shall be entitled to satisfy any required withholding tax on non-cash payments (including deemed payments) through a sale of a portion of the Preferred Stock received as a dividend or from cash dividends or sales proceeds subsequently paid or credited on the Preferred Stock.</w:t>
      </w:r>
    </w:p>
    <w:p>
      <w:pPr>
        <w:spacing w:after="0" w:line="87" w:lineRule="exact"/>
        <w:rPr>
          <w:sz w:val="20"/>
          <w:szCs w:val="20"/>
          <w:color w:val="auto"/>
        </w:rPr>
      </w:pPr>
    </w:p>
    <w:p>
      <w:pPr>
        <w:ind w:right="180" w:firstLine="419"/>
        <w:spacing w:after="0" w:line="258"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Absent a change in law, Internal Revenue Service practice or a contrary determination (as defined in Section 1313(a) of the Internal Revenue Code,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each holder of Preferred Stock and the Corporation shall not treat the Preferred Stock (based on their terms as set forth in this Certificate of Designation) as “preferred stock” within the meaning of Section 305 of the Code and Treasury Regulation Section 1.305-5 for United States federal income tax and withholding tax purposes and shall not take any position inconsistent with such treatment.</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Certificate of Designation is executed on behalf of the Corporation by its Chief Executive Officer this [•] day of [•], 2025.</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40"/>
          </w:cols>
          <w:pgMar w:left="440" w:top="270" w:right="819" w:bottom="1440" w:gutter="0" w:footer="0" w:header="0"/>
        </w:sectPr>
      </w:pPr>
    </w:p>
    <w:bookmarkStart w:id="45" w:name="page46"/>
    <w:bookmarkEnd w:id="45"/>
    <w:p>
      <w:pPr>
        <w:ind w:left="51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1" w:lineRule="exact"/>
        <w:rPr>
          <w:sz w:val="20"/>
          <w:szCs w:val="20"/>
          <w:color w:val="auto"/>
        </w:rPr>
      </w:pPr>
    </w:p>
    <w:p>
      <w:pPr>
        <w:ind w:left="4444"/>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7" w:lineRule="exact"/>
        <w:rPr>
          <w:sz w:val="20"/>
          <w:szCs w:val="20"/>
          <w:color w:val="auto"/>
        </w:rPr>
      </w:pPr>
    </w:p>
    <w:p>
      <w:pPr>
        <w:jc w:val="center"/>
        <w:ind w:left="460" w:right="600"/>
        <w:spacing w:after="0" w:line="260" w:lineRule="auto"/>
        <w:rPr>
          <w:sz w:val="20"/>
          <w:szCs w:val="20"/>
          <w:color w:val="auto"/>
        </w:rPr>
      </w:pPr>
      <w:r>
        <w:rPr>
          <w:rFonts w:ascii="Times New Roman" w:cs="Times New Roman" w:eastAsia="Times New Roman" w:hAnsi="Times New Roman"/>
          <w:sz w:val="18"/>
          <w:szCs w:val="18"/>
          <w:color w:val="auto"/>
        </w:rPr>
        <w:t>(TO BE EXECUTED BY THE REGISTERED HOLDER IN ORDER TO CONVERT SHARES OF 9.99% SERIES A CUMULATIVE CONVERTIBLE PREFERRED STOCK)</w:t>
      </w:r>
    </w:p>
    <w:p>
      <w:pPr>
        <w:spacing w:after="0" w:line="18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undersigned hereby elects to convert all of its shares of 9.99% Series A Cumulative Convertible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indicated below into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Kodiak AI,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accordance with the certificate of designation of such Preferred Stock,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No fee will be charged to the Holders for any conversion, except for any such transfer taxes.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131" w:lineRule="exact"/>
        <w:rPr>
          <w:sz w:val="20"/>
          <w:szCs w:val="20"/>
          <w:color w:val="auto"/>
        </w:rPr>
      </w:pPr>
    </w:p>
    <w:p>
      <w:pPr>
        <w:ind w:left="184" w:hanging="184"/>
        <w:spacing w:after="0"/>
        <w:tabs>
          <w:tab w:leader="none" w:pos="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 Date to Effect Conversion:</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 Number of shares of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-130810</wp:posOffset>
            </wp:positionV>
            <wp:extent cx="50317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14605</wp:posOffset>
            </wp:positionV>
            <wp:extent cx="3282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544" w:val="left"/>
          <w:tab w:leader="none" w:pos="1056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Number of shares of Preferred Stock to be Converted:</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14605</wp:posOffset>
            </wp:positionV>
            <wp:extent cx="37719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3" w:lineRule="exact"/>
        <w:rPr>
          <w:sz w:val="20"/>
          <w:szCs w:val="20"/>
          <w:color w:val="auto"/>
        </w:rPr>
      </w:pPr>
    </w:p>
    <w:p>
      <w:pPr>
        <w:ind w:left="184" w:hanging="184"/>
        <w:spacing w:after="0"/>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Accrued Value plus Accrued but Unpaid Dividends of shares of Preferred Stock to be Converted:</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Number of shares of Common Stock to be Issued:</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Applicable Conversion Price:</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 Number of shares of Preferred Stock subsequent to Conversion:</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Address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-567690</wp:posOffset>
            </wp:positionV>
            <wp:extent cx="1817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-422275</wp:posOffset>
            </wp:positionV>
            <wp:extent cx="3977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-276225</wp:posOffset>
            </wp:positionV>
            <wp:extent cx="4963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-130810</wp:posOffset>
            </wp:positionV>
            <wp:extent cx="32829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14605</wp:posOffset>
            </wp:positionV>
            <wp:extent cx="53149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-19050</wp:posOffset>
            </wp:positionV>
            <wp:extent cx="571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-19050</wp:posOffset>
            </wp:positionV>
            <wp:extent cx="571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1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A</w:t>
      </w:r>
    </w:p>
    <w:p>
      <w:pPr>
        <w:sectPr>
          <w:pgSz w:w="11900" w:h="16838" w:orient="portrait"/>
          <w:cols w:equalWidth="0" w:num="1">
            <w:col w:w="11004"/>
          </w:cols>
          <w:pgMar w:left="436" w:top="266"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1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[FACE]</w:t>
      </w:r>
    </w:p>
    <w:p>
      <w:pPr>
        <w:spacing w:after="0" w:line="1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EXERCISE PERIOD SET FORTH BELOW</w:t>
      </w:r>
    </w:p>
    <w:p>
      <w:pPr>
        <w:spacing w:after="0" w:line="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Reference is made to (i) the Amended and Restated Subscription Agreement (as may be amended, supplemented or otherwise modified from time to time,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dated [ ], 2025 by and between Ares Acquisition Corporation II, a Cayman Islands exempted company (the “Company”) and [  ]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(ii) the Business Combination Agreement, dated April 14, 2025 (as may be amended, supplemented or otherwise modified from time to time, the “Business Combination Agreement”), by and among the Company, Kodiak Robotics, Inc., a Delaware corporation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the other parties to the Business Combination Agreement. As more fully described in the Business Combination Agreement, prior to the closing of the transactions contemplated by the Business Combination Agreement, the Company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Following the Domestication, subject to shareholder approval, the Company will be a corporation incorporated under the laws of the State of Delaware and will be renamed “Kodiak AI, Inc.” Notwithstanding anything to the contrary set forth in the Warrant Agreement (as defined below), for purposes of this Warrant Certificate and the Warrants (as defined below) evidenced by this Warrant Certificate, references to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this Warrant Certificate and the Warrant Agreement shall be deemed to be references to shares of common stock of Kodiak AI, Inc., par value $0.0001 per share.</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Warrant Certificate certifies that the Investor or its registered assigns, is the registered holder of warrants evidenced by this Warrant Certificate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Ordinary Shares. Each Warrant entitles the holder, upon exercise during the Exercise Period (as defined below),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determined pursuant to this Warrant Certificate and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in this Warrant Certificate and in the Warrant Agreement. Capitalized terms used but not defined in this Warrant Certificate have the meanings given to them in the Warrant Agreement. In the event of a conflict between this Warrant Certificate and the Warrant Agreement, the provisions of this Warrant Certificate shall prevail.</w:t>
      </w:r>
    </w:p>
    <w:p>
      <w:pPr>
        <w:spacing w:after="0" w:line="188"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initial Warrant Price per Ordinary Share for any Warrant shall equal $12.00 per share. The Warrant Price is subject to adjustment upon the occurrence of certain events set forth below and as set forth in the Warrant Agreement. Notwithstanding the foregoing, for the avoidance of doubt, the</w:t>
      </w:r>
    </w:p>
    <w:p>
      <w:pPr>
        <w:sectPr>
          <w:pgSz w:w="11900" w:h="16838" w:orient="portrait"/>
          <w:cols w:equalWidth="0" w:num="1">
            <w:col w:w="11020"/>
          </w:cols>
          <w:pgMar w:left="440" w:top="117" w:right="439" w:bottom="1440" w:gutter="0" w:footer="0" w:header="0"/>
        </w:sectPr>
      </w:pPr>
    </w:p>
    <w:bookmarkStart w:id="47" w:name="page48"/>
    <w:bookmarkEnd w:id="4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(i) Section 4.1.2(c), (d), and (e) and (ii) Section 4.3.2 of the Warrant Agreement shall not apply to the Warrants evidenced by this Warrant Certificate. In addition, if on the 46th trading day following the date that is six months after the Closing Date, the VWAP (the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 then in effect shall be reduced to an amount equal to the greater of (i) the Measurement Price and (ii) $8.00. In addition, if on the 46th trading day following the date that is nine months after the Closing Date, the VWAP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 then in effect shall be reduced to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greater of (i) the Second Measurement Price and (ii) $6.00. In addition, notwithstanding anything to the contrary set forth in this Warrant Certificate or the Warrant Agreement, the adjustments set forth in Section 7(c) of the Certificate of Designation (“Adjustment of Conversion Price upon Issuance of Common Stock”) shall apply to the Warrant Price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term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shall mean the period commencing on the date of this Warrant Certificate and terminating at the earliest to occur of: (x) 5:00 p.m., New York City time on the date that is six years after the date on which the Company completes the Business Combination, and (y) the liquidation of the Company. To the extent not exercised by the end of the Exercise Period, the Warrants shall become void. In addition, notwithstanding anything to the contrary set forth in this Warrant Certificate or the Warrant Agreement, the provisions of Sections 6.1, 6.2, and 6.3 of the Warrant Agreement shall not apply to the Warrants evidenced by this Warrant Certificate.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Warrant Certificate set forth on Annex A to this Warrant Certificate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are issued pursuant to (i) the Subscription Agreement and (ii) the Warrant Agreement dated as of April 20, 2023 (the “</w:t>
      </w:r>
      <w:r>
        <w:rPr>
          <w:rFonts w:ascii="Times New Roman" w:cs="Times New Roman" w:eastAsia="Times New Roman" w:hAnsi="Times New Roman"/>
          <w:sz w:val="18"/>
          <w:szCs w:val="18"/>
          <w:b w:val="1"/>
          <w:bCs w:val="1"/>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the Company and Continental Stock Transfer &amp; Trust Company, a New York corporation, as warrant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Agreement is incorporated by reference in and made a part of this instrument. The Warrant Agreement contains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rights, limitation of rights, obligations, duties and immunities of the Warrant Agent, the Company and the holders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meaning the Registered Holders or Registered Holder, respectively) of the Warrants.</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this Warrant Certificate. The holder of Warrants evidenced by this Warrant Certificate may exercise them by surrendering this Warrant Certificate, with the form of election to purchase set forth on Annex B to this Warrant Certificate properly completed and executed, together with payment of the Warrant Price as specified in this Warrant Certificate (or through “cashless exercise” as provided for in the Warrant Agreement) at the principal corporate trust office of the Warrant Agent. In the event that upon any exercise of Warrants evidenced by this Warrant Certificate the number of Warrants exercised shall be less than the total number of Warrants evidenced by this Warrant Certificate, there shall be issued to the holder of this Warrant Certificate or his, her or its assignee, a new Warrant Certificate evidencing the number of Warrants not exercised.</w:t>
      </w:r>
    </w:p>
    <w:p>
      <w:pPr>
        <w:spacing w:after="0" w:line="18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Notwithstanding anything in this Warrant Certificate or the Warrant Agreement to the contrary, the Registered Holder shall not be entitled to the registration rights set forth in Section 7.4.1 of the Warrant Agreement with respect to the issuance of the Ordinary Shares issuable upon exercise of the Warrants and shall instead be entitled to the registration rights set forth in Section 7 of the Subscription Agreement with respect to such Ordinary Shares.</w:t>
      </w:r>
    </w:p>
    <w:p>
      <w:pPr>
        <w:spacing w:after="0" w:line="15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Warrants evidenced by this Warrant Certificate, the obligations and limitations set forth in Section 3.3.2 of the Warrant Agreement shall not apply. Instead, for purposes of the Warrants evidenced by this Warrant Certificate, as soon as practicable after the exercise of any such Warrant and the clearance of the funds in payment of the Warrant Price (as applicable), the Company shall issue to the Registered Holder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this Warrant Certificate are exercised, a notation shall be made to the records maintained by the Depositary, its nominee for each Book-Entry Warrant Certificate, or a Participant, as appropriate, evidencing the balance of this Warrants remaining after such exercise.</w:t>
      </w:r>
    </w:p>
    <w:p>
      <w:pPr>
        <w:spacing w:after="0" w:line="19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Furthermore, notwithstanding anything in this Warrant Certificate or the Warrant Agreement to the contrary, in connection with any exercise of the Warrants evidenced by this Warrant Certificate, the Company will be entitled to choose whether such exercise is made for cash or on a “cashless basis”.</w:t>
      </w:r>
    </w:p>
    <w:p>
      <w:pPr>
        <w:spacing w:after="0" w:line="14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upon exercise of a Warrant, the holder of such Warrant would be entitled to receive a fractional interest in an Ordinary Share, the Company shall, upon exercise, round down to the nearest whole number of Ordinary Shares to be issued to the holder of the Warrant.</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of such Warrant Certificate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right="420" w:firstLine="440"/>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ectPr>
          <w:pgSz w:w="11900" w:h="16838" w:orient="portrait"/>
          <w:cols w:equalWidth="0" w:num="1">
            <w:col w:w="11000"/>
          </w:cols>
          <w:pgMar w:left="440" w:top="266" w:right="459" w:bottom="1440" w:gutter="0" w:footer="0" w:header="0"/>
        </w:sectPr>
      </w:pPr>
    </w:p>
    <w:bookmarkStart w:id="49" w:name="page50"/>
    <w:bookmarkEnd w:id="4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Warrant Agent may deem and treat the Registered Holder(s) of this Warrant Certificate as the absolute owner(s) of this Warrant Certificate (notwithstanding any notation of ownership or other writing on this Warrant Certificate made by anyone), for the purpose of any exercise of this Warrant Certificate, of any distribution to the holder(s) of this Warrant Certificate, and for all other purposes, and neither the Company nor the Warrant Agent shall be affected by any notice to the contrary. Neither the Warrants nor this Warrant Certificate entitles any holder of this Warrant Certificate to any rights of a shareholder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Certificate, the following terms have the meanings set forth below:</w:t>
      </w:r>
    </w:p>
    <w:p>
      <w:pPr>
        <w:spacing w:after="0" w:line="127"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has the meaning given to it in the Subscription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given to it in the Certificate of Designation.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given to it in the Certificate of Designation.</w:t>
      </w:r>
    </w:p>
    <w:p>
      <w:pPr>
        <w:sectPr>
          <w:pgSz w:w="11900" w:h="16838" w:orient="portrait"/>
          <w:cols w:equalWidth="0" w:num="1">
            <w:col w:w="10820"/>
          </w:cols>
          <w:pgMar w:left="440" w:top="270" w:right="6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to Purchase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Upon Exercise of Warrant)</w:t>
      </w:r>
    </w:p>
    <w:p>
      <w:pPr>
        <w:spacing w:after="0" w:line="229" w:lineRule="exact"/>
        <w:rPr>
          <w:sz w:val="20"/>
          <w:szCs w:val="20"/>
          <w:color w:val="auto"/>
        </w:rPr>
      </w:pPr>
    </w:p>
    <w:p>
      <w:pPr>
        <w:jc w:val="both"/>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undersigned irrevocably elects to exercise the right, represented by this Warrant Certificate, to receive Ordinary Shares and 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of this Election to Purchase. The undersigned requests that a certificate for such Ordinary Shares be registered in the name of         whose address is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and that such Ordinary Shares be delivered to         whose address is         . If said number of shares is less than all of the Ordinary Shares purchasable pursuant to the Warrant Certificate, the undersigned requests that a new Warrant Certificate representing the remaining balance of such Ordinary Shares be registered in the name of         , whose address is         and that such Warrant Certificate be delivered to        , whose address is         .</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of this Warrant Certificate shall complete the following: The undersigned irrevocably elects to exercise the right, represented by this Warrant Certificate, through the cashless exercise provisions of the Warrant Agreement, to receive Ordinary Shares. If said number of shares is less than all of the Ordinary Shares purchasable pursuant to this Warrant Certificate (after giving effect to the cashless exercise), the undersigned requests that a new Warrant Certificate representing the remaining balance of such Ordinary Shares be registered in the name of         , whose address is and that such Warrant Certificate be delivered to         , whose address is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180340</wp:posOffset>
            </wp:positionV>
            <wp:extent cx="26574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-7620</wp:posOffset>
            </wp:positionV>
            <wp:extent cx="11430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0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(Signature)</w:t>
      </w:r>
    </w:p>
    <w:p>
      <w:pPr>
        <w:spacing w:after="0" w:line="1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154305</wp:posOffset>
            </wp:positionV>
            <wp:extent cx="26574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308610</wp:posOffset>
            </wp:positionV>
            <wp:extent cx="26574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531495</wp:posOffset>
            </wp:positionV>
            <wp:extent cx="2657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2171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588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60"/>
          </w:cols>
          <w:pgMar w:left="440" w:top="270" w:right="5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SUBSCRIPTION AGREEMENT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to this Subscription Agreement, by and between Ares Acquisition Corporation II,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The Subscription Agreement is entered into in connection with the Business Combination Agreement, dated April 14, 2025 (as may be amended,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SPAC, Kodiak Robotics, Inc., a Delaware corporation (“</w:t>
      </w:r>
      <w:r>
        <w:rPr>
          <w:rFonts w:ascii="Times New Roman" w:cs="Times New Roman" w:eastAsia="Times New Roman" w:hAnsi="Times New Roman"/>
          <w:sz w:val="18"/>
          <w:szCs w:val="18"/>
          <w:u w:val="single" w:color="auto"/>
          <w:color w:val="auto"/>
        </w:rPr>
        <w:t>Kodiak</w:t>
      </w:r>
      <w:r>
        <w:rPr>
          <w:rFonts w:ascii="Times New Roman" w:cs="Times New Roman" w:eastAsia="Times New Roman" w:hAnsi="Times New Roman"/>
          <w:sz w:val="18"/>
          <w:szCs w:val="18"/>
          <w:color w:val="auto"/>
        </w:rPr>
        <w:t>”), and the other parties thereto. As set forth in the Business Combination Agreement, SPAC shall transfer by way of continuation and domesticate as a Delaware corporation prior to the closing of the Transaction. The transactions contemplated by the Business Combination Agreement are referred to in this Subscription Agreement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the purchase and sale of Securities (as defined below) pursuant to this Subscription Agreement are referred to in this Subscription Agreement as the “</w:t>
      </w:r>
      <w:r>
        <w:rPr>
          <w:rFonts w:ascii="Times New Roman" w:cs="Times New Roman" w:eastAsia="Times New Roman" w:hAnsi="Times New Roman"/>
          <w:sz w:val="18"/>
          <w:szCs w:val="18"/>
          <w:u w:val="single" w:color="auto"/>
          <w:color w:val="auto"/>
        </w:rPr>
        <w:t>Subscription Transaction.</w:t>
      </w:r>
      <w:r>
        <w:rPr>
          <w:rFonts w:ascii="Times New Roman" w:cs="Times New Roman" w:eastAsia="Times New Roman" w:hAnsi="Times New Roman"/>
          <w:sz w:val="18"/>
          <w:szCs w:val="18"/>
          <w:color w:val="auto"/>
        </w:rPr>
        <w:t>” SPAC may enter into one or more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As more fully described in the Business Combination Agreement, prior to the closing of the Transaction, SPAC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Securities (as defined below) to be purchased by the Investor shall be Shares of the SPAC following the Domestication. As set forth on the signature page to this Subscription Agreement, the aggregate purchase price to be paid by the Investor for the subscribed Preferred Stock (as defined below) and Warrants (as defined below) is referred to in this Subscription Agreement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the mutual representations, warranties and covenants, and subject to the conditions, set forth in this Subscription Agreement, and intending to be legally bound under this Subscription Agreement, each of the Investor and SPAC acknowledges and agrees as follows:</w:t>
      </w:r>
    </w:p>
    <w:p>
      <w:pPr>
        <w:spacing w:after="0" w:line="68" w:lineRule="exact"/>
        <w:rPr>
          <w:sz w:val="20"/>
          <w:szCs w:val="20"/>
          <w:color w:val="auto"/>
        </w:rPr>
      </w:pPr>
    </w:p>
    <w:p>
      <w:pPr>
        <w:ind w:right="100" w:firstLine="436"/>
        <w:spacing w:after="0" w:line="256"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The Investor irrevocably subscribes for and agrees to purchase from SPAC (i) the number of Preferred Shares set forth on the signature page to this Subscription Agreement and (ii) Warrants and SPAC irrevocably agrees to issue and sell to the Investor such Preferred Shares and such Warrants, in each case, on the terms and subject to the conditions provided for in this Subscription Agreement. Investor acknowledges and agrees that, as a result of the Domestication, the Preferred Shares and Warrant Shares that will be purchased by the Investor and issued by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xml:space="preserve"> pursuant to this Subscription Agreement shall be shares of preferred stock or common stock, as applicable, in a Delaware corporation (and not, for the avoidance of doubt, preference shares or ordinary shares in a Cayman Islands exempted company).</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91"/>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closing of the Subscription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(for the avoidance of doubt, the closing of the Subscription Transaction shall occur after the Domestication). The Closing shall occur on the date of, and substantially concurrently with and conditioned upon the effectiveness of, the Transaction. Upon (a) satisfaction or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and (b) delivery of written notice from (or on behalf of) SPAC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SPAC reasonably expects all conditions to the closing of the Transaction to be satisfied or waived on a date that is not less than five business days from the date on which the Closing Notice is delivered to the Investor.</w:t>
      </w:r>
    </w:p>
    <w:p>
      <w:pPr>
        <w:sectPr>
          <w:pgSz w:w="11900" w:h="16838" w:orient="portrait"/>
          <w:cols w:equalWidth="0" w:num="1">
            <w:col w:w="11020"/>
          </w:cols>
          <w:pgMar w:left="440" w:top="117" w:right="4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At least three business days prior to the closing date specified in the Closing Notice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(i) the Subscription Amount by wire transfer of United States dollars in immediately available funds to the account(s) specified by SPAC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Notice to be held in escrow until the Closing; and (ii) any other information that is reasonably requested in the Closing Notice in order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to issue the Preferred Shares and Warrants. Without limiting the generality of the foregoing, such information shall include the legal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whose name such Preferred Shares and Warrants are to be issued and a duly executed Internal Revenue Service Form W-9 or W-8,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On the Closing Date, SPAC shall:</w:t>
      </w:r>
    </w:p>
    <w:p>
      <w:pPr>
        <w:spacing w:after="0" w:line="117" w:lineRule="exact"/>
        <w:rPr>
          <w:sz w:val="20"/>
          <w:szCs w:val="20"/>
          <w:color w:val="auto"/>
        </w:rPr>
      </w:pPr>
    </w:p>
    <w:p>
      <w:pPr>
        <w:ind w:left="1080" w:hanging="221"/>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the Investor the number of shares of Preferred Stock as set forth on the signature page to this Subscription Agreement;</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Investor the evidence of the filing and acceptance of the Certificate of Designation (as defined below) from the Secretary of State of Delaware;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the Investor a Warrant registered in the name of the Investor to purchase up to a number of shares of Common Stock (as defined below) equal to 125% of the total number of shares of Common Stock into which the Investor’s shares of Preferred Stock are convertible on the date of Closing, with an exercise price equal to $12.00 per share, subject to adjustment as set forth therein.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Subsequently, SPAC shall cause such Preferred Stock to be registered in book entry form, free and clear of any liens, encumbrances or other restrictions (other than those arising under this Subscription Agreement or applicable securities laws), in the name of the Investor on SPAC’s share register. SPAC shall use commercially reasonable efforts to provide a copy of the records of SPAC’s transfer agent showing the Investor (or such nominee or custodian) as the owner of the Preferred Stock on and as of the Closing Date.</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the foregoing, that SPAC’s obligation to issue the Preferred Stock and Warrant to the Investor is contingent upon SPAC having received the Subscription Amount in full accordance with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If the Closing does not occur within three (3) business days following the Closing Date specified in the Closing Notice, SPAC shall promptly (but not later than one (1) business day thereafter) return the Subscription Amount in full to the Investor by wire transfer of U.S. dollars in immediately available funds to the account specified by the Investor.</w:t>
      </w:r>
    </w:p>
    <w:p>
      <w:pPr>
        <w:spacing w:after="0" w:line="180" w:lineRule="exact"/>
        <w:rPr>
          <w:sz w:val="20"/>
          <w:szCs w:val="20"/>
          <w:color w:val="auto"/>
        </w:rPr>
      </w:pPr>
    </w:p>
    <w:p>
      <w:pPr>
        <w:ind w:left="620" w:hanging="184"/>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parties’ obligation to consummate the Subscription Transaction pursuant to this Subscription Agreement is subject to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98" w:lineRule="exact"/>
        <w:rPr>
          <w:rFonts w:ascii="Times New Roman" w:cs="Times New Roman" w:eastAsia="Times New Roman" w:hAnsi="Times New Roman"/>
          <w:sz w:val="18"/>
          <w:szCs w:val="18"/>
          <w:color w:val="auto"/>
        </w:rPr>
      </w:pPr>
    </w:p>
    <w:p>
      <w:pPr>
        <w:ind w:left="980" w:right="640" w:firstLine="408"/>
        <w:spacing w:after="0" w:line="282" w:lineRule="auto"/>
        <w:tabs>
          <w:tab w:leader="none" w:pos="159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offering or sale of the Preferred Stock or Warrant shall have been initiated or, to SPAC’s knowledge, threatened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4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making the consummation of the transactions contemplated under this Subscription Agreement illegal or otherwise restraining or prohibiting consummation of the transactions contemplated under this Subscription Agreement and no governmental authority shall have instituted or threatened in writing a proceeding seeking to impose any such restraint or prohibition;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ind w:left="980" w:right="140" w:firstLine="408"/>
        <w:spacing w:after="0" w:line="258" w:lineRule="auto"/>
        <w:tabs>
          <w:tab w:leader="none" w:pos="169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the parties to the Business Combination Agreement and other than those conditions under the Business Combination Agreement which, by their nature, are to be fulfilled at the closing of the Transaction, including to the extent that any such condition is dependent upon the consummation of the Subscription Transaction pursuant to this Subscription Agreement, all conditions precedent to the closing of the Transaction contained in the Business Combination Agreement shall have been satisfied or waived and the closing of the Transaction shall be scheduled to occur concurrently with or on the same date as the Closing Date.</w:t>
      </w:r>
    </w:p>
    <w:p>
      <w:pPr>
        <w:spacing w:after="0" w:line="183" w:lineRule="exact"/>
        <w:rPr>
          <w:rFonts w:ascii="Times New Roman" w:cs="Times New Roman" w:eastAsia="Times New Roman" w:hAnsi="Times New Roman"/>
          <w:sz w:val="18"/>
          <w:szCs w:val="18"/>
          <w:color w:val="auto"/>
        </w:rPr>
      </w:pPr>
    </w:p>
    <w:p>
      <w:pPr>
        <w:ind w:right="300" w:firstLine="987"/>
        <w:spacing w:after="0" w:line="256" w:lineRule="auto"/>
        <w:tabs>
          <w:tab w:leader="none" w:pos="11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SPAC’s obligation to consummate the Subscription Transaction pursuant to this Subscription Agreement shall be subject to the conditions that: (i) all representations and warranties of the Investor contained in this Subscription Agreement are true and correct in all material respects at and as of the Closing Date; (ii) consummation of the Closing shall constitute a reaffirmation by the Investor of each of the representations and warranties of the Investor contained in this Subscription Agreement as of the Closing Date or such earlier date, as applicable; and (iii) all obligations, covenants and agreements of the Investor required to be performed by it at or prior to the Closing Date shall have been performed in all material respects.</w:t>
      </w:r>
    </w:p>
    <w:p>
      <w:pPr>
        <w:spacing w:after="0" w:line="187"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obligation to consummate the Subscription Transaction pursuant to this Subscription Agreement shall be subject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w:t>
      </w:r>
    </w:p>
    <w:p>
      <w:pPr>
        <w:spacing w:after="0" w:line="98" w:lineRule="exact"/>
        <w:rPr>
          <w:rFonts w:ascii="Times New Roman" w:cs="Times New Roman" w:eastAsia="Times New Roman" w:hAnsi="Times New Roman"/>
          <w:sz w:val="18"/>
          <w:szCs w:val="18"/>
          <w:color w:val="auto"/>
        </w:rPr>
      </w:pPr>
    </w:p>
    <w:p>
      <w:pPr>
        <w:ind w:left="980" w:right="280" w:firstLine="408"/>
        <w:spacing w:after="0" w:line="266" w:lineRule="auto"/>
        <w:tabs>
          <w:tab w:leader="none" w:pos="15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SPAC contained in this Subscription Agreement shall be true and correct in all material respects (other than representations and warranties that are qualified as to materiality or Material Adverse Effect, which representations and warranties shall be true in all respects) at and as of the Closing Date;</w:t>
      </w:r>
    </w:p>
    <w:p>
      <w:pPr>
        <w:spacing w:after="0" w:line="67"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4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Closing shall constitute a reaffirmation by SPAC of each of the representations and warranties of SPAC contained in this Subscription Agreement as of the Closing Date;</w:t>
      </w:r>
    </w:p>
    <w:p>
      <w:pPr>
        <w:spacing w:after="0" w:line="53"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conditions, covenants and agreements of SPAC required by this Subscription Agreement to be performed by it at or prior to the Closing Date shall have been performed, satisfied or complied with in all material respects;</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Common Stock for offering or trading in any jurisdiction, or initiation or written threats of any proceedings for any of such purposes, shall have occurred and be continuing, except, in each case, where any such suspension or proceeding would not prevent SPAC from consummating the Subscription Transaction;</w:t>
      </w:r>
    </w:p>
    <w:p>
      <w:pPr>
        <w:spacing w:after="0" w:line="67" w:lineRule="exact"/>
        <w:rPr>
          <w:rFonts w:ascii="Times New Roman" w:cs="Times New Roman" w:eastAsia="Times New Roman" w:hAnsi="Times New Roman"/>
          <w:sz w:val="18"/>
          <w:szCs w:val="18"/>
          <w:color w:val="auto"/>
        </w:rPr>
      </w:pPr>
    </w:p>
    <w:p>
      <w:pPr>
        <w:ind w:left="980" w:right="460" w:firstLine="408"/>
        <w:spacing w:after="0" w:line="261" w:lineRule="auto"/>
        <w:tabs>
          <w:tab w:leader="none" w:pos="16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waiver of the Business Combination Agreement from and after the date of this Subscription Agreement shall have occurred that reasonably would be expected to materially and adversely affect the economic benefits that the Investor reasonably would expect to receive under this Subscription Agreement without having received the Investor’s prior written consent;</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shall have filed with applicable national stock exchange (as defined in Section 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 application or supplemental listing application for the listing of the Warrant Shares and Conversion Shares (as defined below) shall have been approved for listing, subject to official notice of issuance; and</w:t>
      </w:r>
    </w:p>
    <w:p>
      <w:pPr>
        <w:spacing w:after="0" w:line="67"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7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gives rise to material economic benefits to the Other Investors unless the Investor has been offered the same benefits.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jc w:val="both"/>
        <w:ind w:right="60" w:firstLine="436"/>
        <w:spacing w:after="0" w:line="266" w:lineRule="auto"/>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or prior to the Closing Date, the parties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 Representations and Warranties</w:t>
      </w:r>
      <w:r>
        <w:rPr>
          <w:rFonts w:ascii="Times New Roman" w:cs="Times New Roman" w:eastAsia="Times New Roman" w:hAnsi="Times New Roman"/>
          <w:sz w:val="18"/>
          <w:szCs w:val="18"/>
          <w:color w:val="auto"/>
        </w:rPr>
        <w:t>. SPAC represents and warrants to the Investor that as of the date of this Subscription Agreement and as of the Closing Date:</w:t>
      </w:r>
    </w:p>
    <w:p>
      <w:pPr>
        <w:spacing w:after="0" w:line="53" w:lineRule="exact"/>
        <w:rPr>
          <w:rFonts w:ascii="Times New Roman" w:cs="Times New Roman" w:eastAsia="Times New Roman" w:hAnsi="Times New Roman"/>
          <w:sz w:val="18"/>
          <w:szCs w:val="18"/>
          <w:color w:val="auto"/>
        </w:rPr>
      </w:pPr>
    </w:p>
    <w:p>
      <w:pPr>
        <w:ind w:right="100" w:firstLine="987"/>
        <w:spacing w:after="0" w:line="256" w:lineRule="auto"/>
        <w:tabs>
          <w:tab w:leader="none" w:pos="11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an exempted company, duly organized, validly existing and in good standing under the laws of the Cayman Islands. SPAC has or following the Domestication will have all (corporate or otherwise) power and authority to own, lease and operate its properties and conduct its business as presently conducted and to enter into, deliver and perform its obligations under this Subscription Agreement, the Certificate of Designation, Warrants, the Warrant Agreement (as defined in Warrant), the Other Subscription Agreements and the Business Combination Agreement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As of the Closing Date, following the Domestication, SPAC will be duly incorporated, validly existing as a corporation and in good standing under the laws of the State of Delaware.</w:t>
      </w:r>
    </w:p>
    <w:p>
      <w:pPr>
        <w:spacing w:after="0" w:line="187" w:lineRule="exact"/>
        <w:rPr>
          <w:rFonts w:ascii="Times New Roman" w:cs="Times New Roman" w:eastAsia="Times New Roman" w:hAnsi="Times New Roman"/>
          <w:sz w:val="18"/>
          <w:szCs w:val="18"/>
          <w:color w:val="auto"/>
        </w:rPr>
      </w:pPr>
    </w:p>
    <w:p>
      <w:pPr>
        <w:ind w:right="80" w:firstLine="987"/>
        <w:spacing w:after="0" w:line="258" w:lineRule="auto"/>
        <w:tabs>
          <w:tab w:leader="none" w:pos="11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Preferred Stock and Warrants: (i) will be duly authorized and, when issued and delivered to the Investor against full payment for such Preferred Stock and Warrants in accordance with the terms of this Subscription Agreement, the Certificate of Designation, Warrants and the Warrant Agreement; (ii) will be validly issued, fully paid and non-assessable; and (iii) will not have been issued in violation of or subject to any preemptive or similar rights created under SPAC’s certificate of incorporation (as adopted on the Closing Date) or under the General Corporation Law of the State of Delaware.</w:t>
      </w:r>
    </w:p>
    <w:p>
      <w:pPr>
        <w:spacing w:after="0" w:line="183" w:lineRule="exact"/>
        <w:rPr>
          <w:rFonts w:ascii="Times New Roman" w:cs="Times New Roman" w:eastAsia="Times New Roman" w:hAnsi="Times New Roman"/>
          <w:sz w:val="18"/>
          <w:szCs w:val="18"/>
          <w:color w:val="auto"/>
        </w:rPr>
      </w:pPr>
    </w:p>
    <w:p>
      <w:pPr>
        <w:ind w:right="100" w:firstLine="987"/>
        <w:spacing w:after="0" w:line="258" w:lineRule="auto"/>
        <w:tabs>
          <w:tab w:leader="none" w:pos="11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Warrant Shares issuable upon exercise of Warrants have been duly authorized and reserved for issuance upon exercise of Warrants. When issued and delivered against payment for Warrants pursuant to the terms of Warrants and the Warrant Agreement and registered in SPAC’s register of members, the Warrant Shares will be validly issued, fully paid and non-assessable; and (iii) will not have been issued in violation of or subject to any preemptive or similar rights created under SPAC’s certificate of incorporation (as adopted on the Closing Date) or under the General Corporation Law of the State of Delaware.</w:t>
      </w:r>
    </w:p>
    <w:p>
      <w:pPr>
        <w:spacing w:after="0" w:line="183" w:lineRule="exact"/>
        <w:rPr>
          <w:rFonts w:ascii="Times New Roman" w:cs="Times New Roman" w:eastAsia="Times New Roman" w:hAnsi="Times New Roman"/>
          <w:sz w:val="18"/>
          <w:szCs w:val="18"/>
          <w:color w:val="auto"/>
        </w:rPr>
      </w:pPr>
    </w:p>
    <w:p>
      <w:pPr>
        <w:ind w:right="280" w:firstLine="987"/>
        <w:spacing w:after="0" w:line="258" w:lineRule="auto"/>
        <w:tabs>
          <w:tab w:leader="none" w:pos="11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Conversion Shares issuable upon conversion of the Preferred have been duly authorized and reserved for issuance upon conversion of the Preferred Stock. When issued and delivered against conversion of the Preferred Stock pursuant to the terms of the Certificate of Designation and registered in SPAC’s register of members, the Conversion Shares will be validly issued, fully paid and non-assessable; and (iii) will not have been issued in violation of or subject to any preemptive or similar rights created under SPAC’s certificate of incorporation (as adopted on the Closing Date) or under the General Corporation Law of the State of Delaware.</w:t>
      </w:r>
    </w:p>
    <w:p>
      <w:pPr>
        <w:spacing w:after="0" w:line="183" w:lineRule="exact"/>
        <w:rPr>
          <w:rFonts w:ascii="Times New Roman" w:cs="Times New Roman" w:eastAsia="Times New Roman" w:hAnsi="Times New Roman"/>
          <w:sz w:val="18"/>
          <w:szCs w:val="18"/>
          <w:color w:val="auto"/>
        </w:rPr>
      </w:pPr>
    </w:p>
    <w:p>
      <w:pPr>
        <w:ind w:right="160" w:firstLine="987"/>
        <w:spacing w:after="0" w:line="258" w:lineRule="auto"/>
        <w:tabs>
          <w:tab w:leader="none" w:pos="11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and the Business Combination Agreement have have been duly authorized, and have been duly executed and delivered by SPAC. As of the Closing Date, the other Transaction Documents will have been duly authorized, executed and delivered by SPAC. Assuming that (i) this Subscription Agreement constitutes the valid and binding agreement of the Investor and (ii) each other Transaction Document constitutes or as of the Closing Date will constitute the valid and binding agreement of each other party thereto, this Subscription Agreement and the other Transaction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56" w:name="page57"/>
    <w:bookmarkEnd w:id="56"/>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constitute or as of the Closing Date will constitute the valid and binding agreement of SPAC and are enforceable against SPAC in accordance with their terms, except, in each case,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76"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f. The execution, delivery and performance of the Transaction Documents and the issuance and sale of the Securities and the compliance by SPAC with all provisions of the Transaction Documents and the consummation of the transactions contemplated in the Transaction Documents will not conflict with or result in a breach or violation of any of the terms or provisions of, or constitute a default under, or result in the creation or imposition of any lien, charge or encumbrance upon any of the property or assets of SPAC or any of its subsidiaries pursuant to the terms of: (i) any indenture, mortgage, deed of trust, loan agreement, lease, license or other agreement or instrument to which SPAC or any of its subsidiaries is a party or by which SPAC or any of its subsidiaries is bound or to which any of the property or assets of SPAC is subject that would reasonably be expected to have a material adverse effect on the business, financial condition or results of operations of SPAC and its subsidiaries, taken as a whole or on the validity of the Securities or the ability or legal authority of SPAC to timely comply in all material respects with the terms of the Transaction Documents, including the issuance of the Securities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(ii) result in any violation of the provisions of the organizational documents of SPAC; or</w:t>
      </w:r>
    </w:p>
    <w:p>
      <w:pPr>
        <w:spacing w:after="0" w:line="5" w:lineRule="exact"/>
        <w:rPr>
          <w:sz w:val="20"/>
          <w:szCs w:val="20"/>
          <w:color w:val="auto"/>
        </w:rPr>
      </w:pPr>
    </w:p>
    <w:p>
      <w:pPr>
        <w:ind w:left="4" w:right="260" w:hanging="4"/>
        <w:spacing w:after="0" w:line="260"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any statute or any judgment, order, rule or regulation of any court or governmental agency or body, domestic or foreign, having jurisdiction over SPAC or any of its properties that would reasonably be expected to have a Material Adverse Effect.</w:t>
      </w:r>
    </w:p>
    <w:p>
      <w:pPr>
        <w:spacing w:after="0" w:line="181"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17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SPAC has timely made all filings, forms, reports, statements, schedules, prospectuses, registration statements and other documents required to be filed by SPAC with the SEC since its initial registration of its Class A Ordinary Shares (as defined below) with the SEC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all SEC Reports required to be filed by SPAC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Exchange Act, and the rules and regulations of the SEC promulgated thereunder. When filed, none of the SEC Reports contained any untrue statement of a material fact or omitted to state a material fact required to be stated therein or necessary in order to make the statements therein, in the light of the circumstances under which they were made, not misleading. The financial statements of SPAC included in the SEC Reports comply in all material respects with applicable accounting requirements and the rules and regulations of the SEC with respect to such financial statements as in effect at the time of filing and fairly present in all material respects the financial condition of SPAC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SPAC from the staff of the Division of Corporation Finance of the SEC with respect to any of the SEC Reports.</w:t>
      </w:r>
    </w:p>
    <w:p>
      <w:pPr>
        <w:spacing w:after="0" w:line="189"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17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Securities by SPAC to the Investor. The Securities: (i) were not offered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8"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i. As of the date of this Subscription Agreement, the issued and outstanding Class A Ordinary Shares are registered pursuant to Section 12(b) of the Exchange Act and are listed for trading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under the symbol “AACT.” Except as disclosed in SPAC’s filings with the SEC, as of the date of this Subscription Agreement, there is no suit, action, proceeding or investigation pending or, to the knowledge of SPAC, threatened against SPAC by NYSE or the SEC to prohibit or terminate the listing of SPAC’s Class A Ordinary Shares or, when issued, the Delaware common shares on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such other stock exchange as mutually agreed by SPAC and Kodiak or to deregister the Class A Ordinary Shares under the Exchange Act or, when registered and issued in connection with the Domestication, the Delaware common shares under the Exchange Act. SPAC has taken no action that is designed to, or would reasonably be expected to result in, termination of the registration of the Class A Ordinary Shares under the Exchange Act, other than in connection with the Domestication and subsequent registration under the Exchange Act of the Delaware common shares. Upon consummation of the Transaction, the issued and outstanding shares of Common Stock, including the Common Stock to be issued pursuant to this Subscription Agreement, will be registered pursuant to Section 12(b) of the Exchange Act and will be listed for trading on a national stock exchange.</w:t>
      </w:r>
    </w:p>
    <w:p>
      <w:pPr>
        <w:spacing w:after="0" w:line="192"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j. As of the date of this Subscription Agreement, SPAC has not entered into any side letter or similar agreement with any Other Investor or any other investor in connection with such Other Investor’s or other investor’s direct or indirect investment in SPAC other than (i) the Subscription Agreement by and between SPAC and [•], dated [•] in substantially the form of the Subscription Agreement filed by SPAC on April 14, 2025, (ii) the Subscription Agreement by and between SPAC and [•], dated [•] in substantially the form of the Subscription Agreement filed by SPAC on April 14, 2025, and (iii) the Business Combination Agreement. No side letter or similar agreement or Other Subscription Agreement with any Other Investor or investor making a commitment equal to or less than that made by the Investor, contains economic terms more favorable to such Other Investor or investor than those set forth in this Subscription Agreement. The Other Subscription Agreements have not been amended in any material respect following the date of this Subscription Agreement.</w:t>
      </w:r>
    </w:p>
    <w:p>
      <w:pPr>
        <w:spacing w:after="0" w:line="192"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k. SPAC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SPAC of the Business Combination Agreement or this Subscription Agreement (including, without limitation, the issuance of the Securities pursuant to this Subscription Agreement), other than (i) filings with the SEC, (ii) filings required by applicable state securities laws,</w:t>
      </w:r>
    </w:p>
    <w:p>
      <w:pPr>
        <w:spacing w:after="0" w:line="3" w:lineRule="exact"/>
        <w:rPr>
          <w:sz w:val="20"/>
          <w:szCs w:val="20"/>
          <w:color w:val="auto"/>
        </w:rPr>
      </w:pPr>
    </w:p>
    <w:p>
      <w:pPr>
        <w:ind w:left="4" w:right="60" w:hanging="4"/>
        <w:spacing w:after="0" w:line="255" w:lineRule="auto"/>
        <w:tabs>
          <w:tab w:leader="none" w:pos="3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by the NYSE, Nasdaq or such other applicable stock exchange on which SPAC’s common stock is then listed, and (iv) the failure of which to obtain would not be reasonably likely to have, individually or in the aggregate, a Material Adverse Effect. SPAC is in compliance with all applicable laws and rules of the NYSE except as would not be reasonably likely to have, individually or in the aggregate, a Material Adverse Effect.</w:t>
      </w:r>
    </w:p>
    <w:p>
      <w:pPr>
        <w:spacing w:after="0" w:line="185" w:lineRule="exact"/>
        <w:rPr>
          <w:rFonts w:ascii="Times New Roman" w:cs="Times New Roman" w:eastAsia="Times New Roman" w:hAnsi="Times New Roman"/>
          <w:sz w:val="18"/>
          <w:szCs w:val="18"/>
          <w:color w:val="auto"/>
        </w:rPr>
      </w:pPr>
    </w:p>
    <w:p>
      <w:pPr>
        <w:ind w:left="4" w:right="40" w:firstLine="987"/>
        <w:spacing w:after="0" w:line="270" w:lineRule="auto"/>
        <w:tabs>
          <w:tab w:leader="none" w:pos="113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Subscription Agreement, the authorized capital stock of SPAC consists of: (i) 99,990,000 preference shares, par value $0.0001 per share (“</w:t>
      </w:r>
      <w:r>
        <w:rPr>
          <w:rFonts w:ascii="Times New Roman" w:cs="Times New Roman" w:eastAsia="Times New Roman" w:hAnsi="Times New Roman"/>
          <w:sz w:val="17"/>
          <w:szCs w:val="17"/>
          <w:u w:val="single" w:color="auto"/>
          <w:color w:val="auto"/>
        </w:rPr>
        <w:t>Preference Shares</w:t>
      </w:r>
      <w:r>
        <w:rPr>
          <w:rFonts w:ascii="Times New Roman" w:cs="Times New Roman" w:eastAsia="Times New Roman" w:hAnsi="Times New Roman"/>
          <w:sz w:val="17"/>
          <w:szCs w:val="17"/>
          <w:color w:val="auto"/>
        </w:rPr>
        <w:t>”); (ii) 9,000,000,000 Class A ordinary shares, par value $0.0001 per share (the “</w:t>
      </w:r>
      <w:r>
        <w:rPr>
          <w:rFonts w:ascii="Times New Roman" w:cs="Times New Roman" w:eastAsia="Times New Roman" w:hAnsi="Times New Roman"/>
          <w:sz w:val="17"/>
          <w:szCs w:val="17"/>
          <w:u w:val="single" w:color="auto"/>
          <w:color w:val="auto"/>
        </w:rPr>
        <w:t>Class A Ordinary Shares</w:t>
      </w:r>
      <w:r>
        <w:rPr>
          <w:rFonts w:ascii="Times New Roman" w:cs="Times New Roman" w:eastAsia="Times New Roman" w:hAnsi="Times New Roman"/>
          <w:sz w:val="17"/>
          <w:szCs w:val="17"/>
          <w:color w:val="auto"/>
        </w:rPr>
        <w:t>”); and (iii) 900,000,000 Class B ordinary shares, par value $0.0001 per share (the “</w:t>
      </w:r>
      <w:r>
        <w:rPr>
          <w:rFonts w:ascii="Times New Roman" w:cs="Times New Roman" w:eastAsia="Times New Roman" w:hAnsi="Times New Roman"/>
          <w:sz w:val="17"/>
          <w:szCs w:val="17"/>
          <w:u w:val="single" w:color="auto"/>
          <w:color w:val="auto"/>
        </w:rPr>
        <w:t>Class B Ordinary Shares</w:t>
      </w:r>
      <w:r>
        <w:rPr>
          <w:rFonts w:ascii="Times New Roman" w:cs="Times New Roman" w:eastAsia="Times New Roman" w:hAnsi="Times New Roman"/>
          <w:sz w:val="17"/>
          <w:szCs w:val="17"/>
          <w:color w:val="auto"/>
        </w:rPr>
        <w:t>”). As of the date of this Subscription Agreement: (A) no shares of Preference Shares are issued and outstanding, (B) 61,859,712 Class A Ordinary Shares are issued and outstanding; (C) 0 Class B ordinary shares are issued and outstanding; and (D) 14,300,000 private placement warrants are issued and outstanding and 25,000,000 public warrants are issued and outstanding (collectively, the “</w:t>
      </w:r>
      <w:r>
        <w:rPr>
          <w:rFonts w:ascii="Times New Roman" w:cs="Times New Roman" w:eastAsia="Times New Roman" w:hAnsi="Times New Roman"/>
          <w:sz w:val="17"/>
          <w:szCs w:val="17"/>
          <w:u w:val="single" w:color="auto"/>
          <w:color w:val="auto"/>
        </w:rPr>
        <w:t>SPAC Warrants</w:t>
      </w:r>
      <w:r>
        <w:rPr>
          <w:rFonts w:ascii="Times New Roman" w:cs="Times New Roman" w:eastAsia="Times New Roman" w:hAnsi="Times New Roman"/>
          <w:sz w:val="17"/>
          <w:szCs w:val="17"/>
          <w:color w:val="auto"/>
        </w:rPr>
        <w:t>”). Each SPAC Warrant is exercisable for one share of Common Stock at an exercise price of $11.50 per share. No SPAC Warrants are exercisable on or prior to the Closing. All (i) issued and outstanding Class A Ordinary Shares and Class B Ordinary Shares have been duly authorized and validly issued, are fully paid and non-assessable and are not subject to preemptive rights and (ii) outstanding SPAC Warrants have been duly authorized and validly issued, are fully paid and are not subject to preemptive rights. None of the Class A Ordinary Shares, Class B Ordinary Shares or SPAC Warrants are subject to or were issued in violation of any purchase</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8" w:right="439" w:bottom="1440" w:gutter="0" w:footer="0" w:header="0"/>
        </w:sectPr>
      </w:pPr>
    </w:p>
    <w:bookmarkStart w:id="58" w:name="page59"/>
    <w:bookmarkEnd w:id="58"/>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option, right of first refusal, preemptive right, subscription right or any similar right under any provision of the laws of the Cayman Islands, SPAC’s organizational documents or any contract to which SPAC is a party or by which SPAC is bound. Except as disclosed in SPAC’s SEC Reports or other filings, there are no outstanding contractual obligations of SPAC to repurchase, redeem or otherwise acquire any equity securities or capital equity of SPAC. As of the date of this Subscription Agreement, except as set forth above and pursuant to (i) the Other Subscription Agreements, (ii) the Promissory Notes, dated as of April 25, 2023, by and between SPAC and Ares Acquisition Holdings II LP, a Cayman Islands exempted limited partnership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(ii) the Promissory Note, dated as of April 25, 2025, by and between SPAC and Ares Acquisition Holdings II LP, (iii) Working Capital Loan Promissory Note, dated as of June 23, 2025, by and between SPAC and Ares Acquisition Holdings II LP, and (iv) the Business Combination Agreement, there are no outstanding options, warrants or other rights to subscribe for, purchase or acquire from SPAC any equity securities of or other equity interests in SPAC (collectively, “</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or securities convertible into or exchangeable or exercisable for Equity Interests. As of the date of this Subscription Agreement: (i) SPAC has no subsidiaries other than those party to the Business Combination Agreement; and</w:t>
      </w:r>
    </w:p>
    <w:p>
      <w:pPr>
        <w:spacing w:after="0" w:line="4" w:lineRule="exact"/>
        <w:rPr>
          <w:sz w:val="20"/>
          <w:szCs w:val="20"/>
          <w:color w:val="auto"/>
        </w:rPr>
      </w:pPr>
    </w:p>
    <w:p>
      <w:pPr>
        <w:ind w:left="4" w:right="60" w:hanging="4"/>
        <w:spacing w:after="0" w:line="265" w:lineRule="auto"/>
        <w:tabs>
          <w:tab w:leader="none" w:pos="26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 does not own, directly or indirectly, interests or investments (whether equity or debt) in any person, whether incorporated or unincorporated. There are no stockholder agreements, voting trusts or other agreements or understandings to which SPAC is a party or by which it is bound relating to the voting of any Equity Interests, other than as contemplated by the Business Combination Agreement, the ancillary documents of the Business Combination Agreement and Letter Agreement, dated as of April 20, 2025, by and among SPAC, Sponsor and the directors and officers of SPAC. Except for the anti-dilution provisions as set forth in the Second Lien Loan and Security Agreement, by and among Kodiak, Ares Agent Services, L.P. and the lenders identified on the signature pages thereto, dated as of April 14, 2025 and as amended on July 18, 2025 and on August 25, 2025, there are no securities or instruments issued by or to which SPAC is a party containing anti-dilution or similar provisions that will be triggered by the issuance of:</w:t>
      </w:r>
    </w:p>
    <w:p>
      <w:pPr>
        <w:spacing w:after="0" w:line="1" w:lineRule="exact"/>
        <w:rPr>
          <w:rFonts w:ascii="Times New Roman" w:cs="Times New Roman" w:eastAsia="Times New Roman" w:hAnsi="Times New Roman"/>
          <w:sz w:val="17"/>
          <w:szCs w:val="17"/>
          <w:color w:val="auto"/>
        </w:rPr>
      </w:pPr>
    </w:p>
    <w:p>
      <w:pPr>
        <w:jc w:val="both"/>
        <w:ind w:left="4" w:right="300" w:hanging="4"/>
        <w:spacing w:after="0" w:line="255" w:lineRule="auto"/>
        <w:tabs>
          <w:tab w:leader="none" w:pos="2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pursuant to this Subscription Agreement; or (ii) the shares to be issued pursuant to any Other Subscription Agreement. There are no outstanding contractual obligations of SPAC to provide funds to, or make any investment (in the form of a loan, capital contribution or otherwise) in, any other person or entity.</w:t>
      </w:r>
    </w:p>
    <w:p>
      <w:pPr>
        <w:spacing w:after="0" w:line="18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this Subscription Agreement, except as would not reasonably be expected to have a Material Adverse Effect, there is no</w:t>
      </w:r>
    </w:p>
    <w:p>
      <w:pPr>
        <w:spacing w:after="0" w:line="27" w:lineRule="exact"/>
        <w:rPr>
          <w:rFonts w:ascii="Times New Roman" w:cs="Times New Roman" w:eastAsia="Times New Roman" w:hAnsi="Times New Roman"/>
          <w:sz w:val="18"/>
          <w:szCs w:val="18"/>
          <w:color w:val="auto"/>
        </w:rPr>
      </w:pPr>
    </w:p>
    <w:p>
      <w:pPr>
        <w:ind w:left="4" w:right="460" w:hanging="4"/>
        <w:spacing w:after="0" w:line="260" w:lineRule="auto"/>
        <w:tabs>
          <w:tab w:leader="none" w:pos="2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suit, claim or other proceeding, in each case by or before any governmental authority pending, or, to the knowledge of SPAC, threatened against SPAC or (ii) judgment, decree, injunction, ruling or order of any governmental entity or arbitrator outstanding against SPAC.</w:t>
      </w:r>
    </w:p>
    <w:p>
      <w:pPr>
        <w:spacing w:after="0" w:line="18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17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in compliance with all applicable law, except where such noncompliance would not reasonably be expected to have a Material Adverse Effect. As of the date this Subscription Agreement, SPAC has not received any written communication from a governmental authority that alleges that SPAC is not in compliance with or is in default or violation of any applicable law except where such noncompliance, default or violation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17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has not paid, and is not under any obligation to pay, any broker’s fee or commission in connection with the sale of the Securities pursuant to this Subscription Agreement other than to the Placement Agents (as defined below) and, in certain circumstances following the consummation of the Transactions, Chardan Capital Markets, LLC and TD Securities (USA) LLC in their respective roles as advisers to Kodiak. Other than the Placement Agents, Chardan Capital Markets, LLC and TD Securities (USA) LLC in their respective roles as advisers to Kodiak. SPAC is not aware of any person that has been paid (directly or indirectly) remuneration for solicitation of purchasers in connection with the sale of any Securities in connection with the Subscription Agreements.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8" w:right="439" w:bottom="1440" w:gutter="0" w:footer="0" w:header="0"/>
        </w:sectPr>
      </w:pPr>
    </w:p>
    <w:bookmarkStart w:id="59" w:name="page60"/>
    <w:bookmarkEnd w:id="59"/>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p. SPAC is not, and immediately after receipt of payment for the Securities, will not be required to register as an “investment company” within the meaning of the Investment Company Act of 1940, as amended.</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q. SPAC is not, and has not been during the applicable period specified in Section 897(c)(1)(A)(ii)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 “United States real property holding corporation” within the meaning of Section 897(c)(2) of the Code.</w:t>
      </w:r>
    </w:p>
    <w:p>
      <w:pPr>
        <w:spacing w:after="0" w:line="162" w:lineRule="exact"/>
        <w:rPr>
          <w:sz w:val="20"/>
          <w:szCs w:val="20"/>
          <w:color w:val="auto"/>
        </w:rPr>
      </w:pPr>
    </w:p>
    <w:p>
      <w:pPr>
        <w:ind w:right="360" w:firstLine="436"/>
        <w:spacing w:after="0" w:line="282"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SPAC and the Placement Agents that as of the date of this Subscription Agreement and as of the Closing Date:</w:t>
      </w:r>
    </w:p>
    <w:p>
      <w:pPr>
        <w:spacing w:after="0" w:line="53" w:lineRule="exact"/>
        <w:rPr>
          <w:rFonts w:ascii="Times New Roman" w:cs="Times New Roman" w:eastAsia="Times New Roman" w:hAnsi="Times New Roman"/>
          <w:sz w:val="18"/>
          <w:szCs w:val="18"/>
          <w:color w:val="auto"/>
        </w:rPr>
      </w:pPr>
    </w:p>
    <w:p>
      <w:pPr>
        <w:ind w:right="200" w:firstLine="987"/>
        <w:spacing w:after="0" w:line="312" w:lineRule="auto"/>
        <w:tabs>
          <w:tab w:leader="none" w:pos="116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(i) has been duly formed or incorporated and is validly existing and in good standing under the laws of its jurisdiction of formation or incorporation; and (ii) has the requisite power and authority to enter into and perform its obligations under this Subscription Agreement.</w:t>
      </w:r>
    </w:p>
    <w:p>
      <w:pPr>
        <w:spacing w:after="0" w:line="139" w:lineRule="exact"/>
        <w:rPr>
          <w:rFonts w:ascii="Times New Roman" w:cs="Times New Roman" w:eastAsia="Times New Roman" w:hAnsi="Times New Roman"/>
          <w:sz w:val="17"/>
          <w:szCs w:val="17"/>
          <w:color w:val="auto"/>
        </w:rPr>
      </w:pPr>
    </w:p>
    <w:p>
      <w:pPr>
        <w:ind w:right="280" w:firstLine="987"/>
        <w:spacing w:after="0" w:line="261" w:lineRule="auto"/>
        <w:tabs>
          <w:tab w:leader="none" w:pos="11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the Investor. Assuming the due authorization, execution and delivery of the same by SPAC, this Subscription Agreement shall constitute the valid and legally binding obligation of the Investor, enforceable against the Investor in accordance with its terms, except as such enforceability may be limited by bankruptcy, insolvency, reorganization, moratorium and similar laws affecting creditors generally and by the availability of equitable remedies.</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16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Subscription Agreement, the purchase of the Securities, the compliance by the Investor with all of the provisions of this Subscription Agreement and the consummation of the transactions contemplated in this Subscription Agreement will not conflict with or result in a breach or violation of any of the terms or provisions of, or constitute a default under, or result in the creation or imposition of any lien, charge or encumbrance upon any of the property or assets of the Investor pursuant to the terms of: (i) any indenture, mortgage, deed of trust, loan agreement, lease, license or other agreement or instrument to which the Investor is a party or by which the Investor is bound or to which any of the property or assets of the Investor is subject; (ii) the organizational documents of the Investor; or (iii) any statute or any judgment, order, rule or regulation of any court or governmental agency or body, domestic or foreign, having jurisdiction over the Investor or any of its properties that in the case of clauses (i) and (iii), would reasonably be expected to have a material adverse effect on the Investor’s ability to consummate the transactions contemplated in this Subscription Agreement, including the purchase of the Securities.</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1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or each of the funds managed by or affiliated with the Investor for which the Investor is acting as nominee is, and on each date on which it exercises any Warrants or converts any shares of Preferred Stock will be: (i) a “qualified institutional buyer” (as defined in Rule 144A under the Securities Act), or an institutional “accredited investor” (within the meaning of Rule 501(a) (1), (2), (3) or (7)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acquiring the Securities only for his, her or its own account and not for the account of others, or if the Investor is subscribing for the Securities as a fiduciary or agent for one or more investor accounts, the Investor has full investment discretion with respect to each such account, and the full power and authority to make the acknowledgements, representations, warranties and agreements in this Subscription Agreement on behalf of each owner of each such account; and (iii) not acquiring the Securities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Investor is not an entity formed for the specific purpose of acquiring the Securities. The Investor understands that the offering meets the exemptions from filing under FINRA Rule 5123(b)(1)(C) or (J). The Investor has completed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to this Subscription Agreement and the information contained on Schedule A is, and on each date on which the Investor exercises any Warrants or converts any shares of Preferred Stock will be, accurate and complete.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60" w:name="page61"/>
    <w:bookmarkEnd w:id="60"/>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4" w:right="380" w:firstLine="991"/>
        <w:spacing w:after="0" w:line="255" w:lineRule="auto"/>
        <w:rPr>
          <w:sz w:val="20"/>
          <w:szCs w:val="20"/>
          <w:color w:val="auto"/>
        </w:rPr>
      </w:pPr>
      <w:r>
        <w:rPr>
          <w:rFonts w:ascii="Times New Roman" w:cs="Times New Roman" w:eastAsia="Times New Roman" w:hAnsi="Times New Roman"/>
          <w:sz w:val="18"/>
          <w:szCs w:val="18"/>
          <w:color w:val="auto"/>
        </w:rPr>
        <w:t>e. The Investor, or each of the funds managed by or affiliated with the Investor for which the Investor is acting as nominee on the date hereof and on each date on which it exercises any Warrants or converts any shares of Preferred Stock: (i) is and will be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w:t>
      </w:r>
    </w:p>
    <w:p>
      <w:pPr>
        <w:spacing w:after="0" w:line="3" w:lineRule="exact"/>
        <w:rPr>
          <w:sz w:val="20"/>
          <w:szCs w:val="20"/>
          <w:color w:val="auto"/>
        </w:rPr>
      </w:pPr>
    </w:p>
    <w:p>
      <w:pPr>
        <w:ind w:left="4" w:right="80" w:hanging="4"/>
        <w:spacing w:after="0" w:line="255" w:lineRule="auto"/>
        <w:tabs>
          <w:tab w:leader="none" w:pos="3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and will have exercised independent judgment in evaluating our participation in the purchase of the Securities. Accordingly, we understand that the offering meets (i) the exemptions from filing under FINRA Rule 5123(b)(1)(A) and (ii) the institutional customer exemption under FINRA Rule 2111(b).</w:t>
      </w:r>
    </w:p>
    <w:p>
      <w:pPr>
        <w:spacing w:after="0" w:line="185" w:lineRule="exact"/>
        <w:rPr>
          <w:rFonts w:ascii="Times New Roman" w:cs="Times New Roman" w:eastAsia="Times New Roman" w:hAnsi="Times New Roman"/>
          <w:sz w:val="18"/>
          <w:szCs w:val="18"/>
          <w:color w:val="auto"/>
        </w:rPr>
      </w:pPr>
    </w:p>
    <w:p>
      <w:pPr>
        <w:ind w:left="4" w:right="120" w:firstLine="987"/>
        <w:spacing w:after="0" w:line="267" w:lineRule="auto"/>
        <w:tabs>
          <w:tab w:leader="none" w:pos="1145"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Investor acknowledges and agrees: (i) that the Securities are being offered in a transaction not involving any public offering within the meaning of the Securities Act; (ii) the Securities have not been registered under the Securities Act; and (iii) that SPAC is not required to register the Securities except as set forth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of this Subscription Agreement or as set forth in Warrant. The Investor acknowledges and agrees that the Securities may not be offered, resold, transferred, pledged or otherwise disposed of by the Investor absent an effective registration statement under the Securities Act except: (i) to SPAC or one of its subsidiaries; (ii) to non-U.S. persons pursuant to offers and sales that occur outside the United States within the meaning of Regulation S; or (iii) pursuant to another applicable exemption from the registration requirements of the Securities Act. With respect to any transactions falling within clauses (i) and (iii) of the preceding sentence, any such transaction must also be in accordance with any applicable securities laws of the states and other jurisdictions of the United States, and any book entry records or certificates representing the Securities shall contain a restrictive legend to such effect. The Investor acknowledges and agrees that: (i) the Securities will be subject to transfer restrictions;</w:t>
      </w:r>
    </w:p>
    <w:p>
      <w:pPr>
        <w:spacing w:after="0" w:line="5" w:lineRule="exact"/>
        <w:rPr>
          <w:rFonts w:ascii="Times New Roman" w:cs="Times New Roman" w:eastAsia="Times New Roman" w:hAnsi="Times New Roman"/>
          <w:sz w:val="17"/>
          <w:szCs w:val="17"/>
          <w:color w:val="auto"/>
        </w:rPr>
      </w:pPr>
    </w:p>
    <w:p>
      <w:pPr>
        <w:ind w:left="4" w:right="40" w:hanging="4"/>
        <w:spacing w:after="0" w:line="270" w:lineRule="auto"/>
        <w:tabs>
          <w:tab w:leader="none" w:pos="26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these transfer restrictions, the Investor may not be able to readily offer, resell, transfer, pledge or otherwise dispose of the Securities; and (iii) as a consequence, Investor may be required to bear the financial risk of an investment in the Securities for an indefinite period of time. The Investor acknowledges and agrees that the Securities will not be eligible for offer, resale, transfer, pledge or disposition pursuant to Rule 144 promulgated under the Securities Act until at least one year from the date that SPAC files a Current Report on Form 8-K following the Closing Date that includes the “Form 10” information required under applicable SEC rules and regulations. The Investor acknowledges and agrees that it has been advised to consult legal counsel and tax and accounting advisors prior to making any offer, resale, transfer, pledge or disposition of any of the Securities.</w:t>
      </w:r>
    </w:p>
    <w:p>
      <w:pPr>
        <w:spacing w:after="0" w:line="174" w:lineRule="exact"/>
        <w:rPr>
          <w:rFonts w:ascii="Times New Roman" w:cs="Times New Roman" w:eastAsia="Times New Roman" w:hAnsi="Times New Roman"/>
          <w:sz w:val="17"/>
          <w:szCs w:val="17"/>
          <w:color w:val="auto"/>
        </w:rPr>
      </w:pPr>
    </w:p>
    <w:p>
      <w:pPr>
        <w:ind w:left="4" w:right="40" w:firstLine="987"/>
        <w:spacing w:after="0" w:line="258" w:lineRule="auto"/>
        <w:tabs>
          <w:tab w:leader="none" w:pos="117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is purchasing the Securities directly from SPAC. The Investor further acknowledges that there have been no representations, warranties, covenants and agreements made to the Investor by or on behalf of SPAC, Kodiak, any of their respective affiliates or any control persons, officers, directors, employees, partners, agents or representatives of any of the foregoing or any other person or entity, expressly or by implication. Investor explicitly disclaims reliance on any of the foregoing other than those representations, warranties, covenants and agreements of SPAC expressly set forth in this Subscription Agreement.</w:t>
      </w:r>
    </w:p>
    <w:p>
      <w:pPr>
        <w:spacing w:after="0" w:line="183"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17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Securities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8" w:right="439" w:bottom="1440" w:gutter="0" w:footer="0" w:header="0"/>
        </w:sectPr>
      </w:pPr>
    </w:p>
    <w:bookmarkStart w:id="61" w:name="page62"/>
    <w:bookmarkEnd w:id="61"/>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i. The Investor acknowledges and agrees that the Investor has received, and has had the opportunity to review and understand such financials and other information as the Investor deems necessary in order to make an investment decision with respect to the Securities, including, with respect to SPAC, the Transaction and the business of Kodiak and its subsidiaries. Without limiting the generality of the foregoing, the Investor acknowledges that he, she or it has had the opportunity to review SPAC’s SEC Reports. The Investor acknowledges and agrees that the Investor and the Investor’s professional advisor(s), if any, have had the opportunity to ask such questions, receive such answers and obtain such information as the Investor and such Investor’s professional advisor(s) have deemed necessary to make an investment decision with respect to the Securities. The Investor has received, and has had the opportunity to review and understand the materials made available to it in connection with the Transaction, has made its own assessment and has satisfied itself concerning the relevant tax and other economic considerations relevant to its investment in the Securities. The Investor acknowledges that as part of the Transaction, SPAC filed a registration statement under the Securities Act, including a proxy statement/prospectus, which contains additional information about the Transaction, Kodiak and SPAC. The Investor acknowledges and agrees that any changes to such information, including, without limitation, any changes based on updated information or changes in terms of the Transaction, shall in no way affect the Investor’s obligation to purchase the Securities under this Subscription Agreement. The Investor acknowledges that the Investor has not relied on any such registration statement and proxy statement/prospectus in making any investment decision. The Investor acknowledges that SPAC and Kodiak offered to make certain non-public information available to the Investor subject to customary trading restrictions and non-disclosure requirements.</w:t>
      </w:r>
    </w:p>
    <w:p>
      <w:pPr>
        <w:spacing w:after="0" w:line="196"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j. The Investor acknowledges that certain information provided to it was based on forecasts. The Investor understands and agree that such forecasts were prepared based on assumptions and estimates that are inherently uncertain and are subject to a wide variety of significant business, economic and competitive risks and uncertainties many of which are outside of SPAC’s control. Consequently, Investor acknowledges and agrees that actual results to differ materially from those contained in the forecasts and that SPAC does not guarantee the accuracy of any such forecasts. The Investor acknowledges that all forward looking information and forecasts were prepared without the participation of the Placement Agents and that the Placement Agents do not assume responsibility for independent verification of, or the accuracy or completeness of, such information or forecasts.</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k. The Investor became aware of this offering of the Securities solely by means of direct contact between the Investor and SPAC, Kodiak or a representative of SPAC or Kodiak. Investor acknowledges that the Securities were offered to the Investor solely by direct contact between the Investor and SPAC, Kodiak or a representative of SPAC or Kodiak. The Investor did not become aware of this offering of the Securities, nor were the Securities offered to the Investor, by any other means. The Investor acknowledges that the Securities: (i) were not offered to it by any advertising or, to its knowledge, general solicitation; and (ii) are not being offered in a manner involving a public offering under, or in a distribution in violation of, the Securities Act, or any state securities laws. In making its investment or decision to invest in SPAC, the Investor acknowledges that it is not relying upon, and has not relied and disclaims reliance upon, any statement, representation or warranty made by any person, firm or corporation (including, without limitation, SPAC, Kodiak, the Placement Agents, any of their respective affiliates or any control persons, officers, directors, employees, partners, agents or representatives of any of the foregoing), other than the representations and warranties of SPAC contained in this Subscription Agreement. Neither the Investor, nor to its knowledge any of its directors, officers, employees, agents, stockholders or partners has either directly or indirectly, including through a broker or finder, (i) to its knowledge, engaged in any general solicitation, or (ii) published any advertisement in connection with the offering of the Securities.</w:t>
      </w:r>
    </w:p>
    <w:p>
      <w:pPr>
        <w:spacing w:after="0" w:line="19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l. The Investor acknowledges that it is aware that there are substantial risks incident to the purchase and ownership of the Securities, including those set forth in SPAC’s SEC Reports. The Investor is: (i) able to fend for itself in the Transactions contemplated in this Subscription Agreement; has such knowledge and experience in financial and business matters as to be capable of evaluating the merits and risks of an investment in the Securities; and (iii) has the ability to bear the economic risks of 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8" w:right="439" w:bottom="1440" w:gutter="0" w:footer="0" w:header="0"/>
        </w:sectPr>
      </w:pPr>
    </w:p>
    <w:bookmarkStart w:id="62" w:name="page63"/>
    <w:bookmarkEnd w:id="62"/>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prospective investment and can afford the complete loss of such investment. The Investor has sought such accounting, legal and tax advice as the Investor has considered necessary to make an informed investment decision. Investor acknowledges and agrees that it has made its own assessment and has satisfied itself concerning relevant tax and other economic considerations relative to its purchase of the Securities. The Investor will not look to J.P. Morgan Securities LLC, Citigroup Inc. or any of their respective affiliates, in their capacity as placement agents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for all or part of any such loss or losses the Investor may suffer. Investor represents that: (i) it is able to sustain a complete loss on its investment in the Securities; (ii) has no need for liquidity with respect to its investment in the Securities; and (iii) has no reason to anticipate any change in circumstances, financial or otherwise, which may cause or require any sale or distribution of all or any part of the Securities.</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m. Alone, or together with any professional advisor(s), the Investor acknowledges that it has adequately analyzed and fully considered the risks of an investment in the Securities and determined that the Securities are a suitable investment for the Investor. Investor represents that it is able at this time and in the foreseeable future to bear the economic risk of a total loss of the Investor’s investment in SPAC. The Investor acknowledges specifically that a possibility of total loss exists.</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n. In making its decision to purchase the Securities, the Investor has relied solely upon its own independent investigation and that of its advisors, if any. Without limiting the generality of the foregoing, the Investor has not relied (and disclaims reliance) on any statements or other information provided by or on behalf of any Placement Agent or any of their respective affiliates or any control persons, officers, directors, employees, partners, agents or representatives of any of the foregoing concerning SPAC, Kodiak, the Transaction, the Business Combination Agreement, this Subscription Agreement or the transactions contemplated under this Subscription Agreement or the Business Combination Agreement, the Securities or the offer and sale of the Securities.</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o. The Investor acknowledges and agrees that the Placement Agents and their respective directors, officers, employees, representatives and controlling persons: (i) have not provided the Investor with any information or advice with respect to the Securities; (ii) have not made or make any representation, express or implied as to SPAC, Kodiak, Kodiak’s credit quality, the Securities or the Investor’s purchase of the Securities; (iii) have not acted as the Investor’s financial advisor or fiduciary in connection with the issue and purchase of Securities; (iv) may have acquired, or during the term of the Securities may acquire, non-public information with respect to Kodiak, which, subject to the requirements of applicable law, the Investor agrees need not be provided to it; (v) may have existing or future business relationships with SPAC and Kodiak (including, but not limited to, lending, depository, risk management, advisory and banking relationships); (vi) will pursue actions and take steps that it deems or they deem necessary or appropriate to protect its or their interests arising therefrom without regard to the consequences for a holder of Securities, and that certain of these actions may have material and adverse consequences for a holder of Securities.</w:t>
      </w:r>
    </w:p>
    <w:p>
      <w:pPr>
        <w:spacing w:after="0" w:line="18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p. The Investor acknowledges and agrees that it has not relied on the Placement Agents in connection with its determination as to the legality of its acquisition of the Securities or as to the other matters referred to in this Subscription Agreement. Investor also acknowledges that it has not relied on any investigation that the Placement Agents, any of their affiliates or any person acting on their behalf have conducted with respect to the Securities, SPAC or Kodiak. The Investor further acknowledges and agrees that it has not relied on any information contained in any research reports prepared by the Placement Agents or any of their respective affiliates.</w:t>
      </w:r>
    </w:p>
    <w:p>
      <w:pPr>
        <w:spacing w:after="0" w:line="183"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q. The Investor acknowledges and agrees that no federal or state agency has passed upon or endorsed the merits of the offering of the Securities or made any findings or determination as to the fairness of this investment.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8" w:right="4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Intentionally omitted.</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s. The execution, delivery and performance by the Investor of this Subscription Agreement are within the Investor’s powers,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that would reasonably be expected to have a material adverse effect on the legal authority of the Investor to enter into and perform its obligation under this Subscription Agreement. If the Investor is not an individual, the execution, delivery and performance by the Investor of this Subscription Agreement will not violate any provisions of the Investor’s organizational documents, including, without limitation, its incorporation or formation papers, bylaws, indenture of trust or partnership or operating agreement, as may be applicable. The signature on this Subscription Agreement is genuine. If the Investor is an individual, the signatory has legal competence and Investor has the capacity to execute this Subscription Agreement. If the Investor is not an individual, the signatory has been duly authorized to execute this Subscription Agreement. Assuming that this Subscription Agreement constitutes the valid and binding obligation of SPAC,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8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t. 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owned, directly or indirectly, or controlled by, or acting on behalf of, one or more persons that are named on the OFAC List; (iii) organized, incorporated, established, located, resident or born in, or a citizen, national or the government, including any political subdivision, agency or instrumentality thereof, of, Cuba, Iran, North Korea, Syria, the Crimea region of Ukraine, the so-called Donetsk People’s Republic, the so-called Luhansk People Republic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(each of the foregoing,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If requested, the Investor agrees and is permitted to provide law enforcement agencies such records as required by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to the extent required, the Investor maintains policies and procedures reasonably designed to comply with applicable obligations under the BSA/PATRIOT Act. To the extent required, the Investor maintains policies and procedures reasonably designed to ensure compliance with OFAC-administered sanctions programs, including for the screening of its investors against the OFAC sanctions programs, including the OFAC List. To the extent required by applicable law, the Investor maintains policies and procedures reasonably designed to ensure that the funds held by the Investor and used to purchase the Securities were legally derived and were not obtained, directly or indirectly, from a Prohibited Investor.</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No disclosure or offering document has been prepared by the Placement Agents in connection with the offer and sale of the Securities.</w:t>
      </w:r>
    </w:p>
    <w:p>
      <w:pPr>
        <w:spacing w:after="0" w:line="225"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v. No Placement Agent, nor any of its respective affiliates nor any control persons, officers, directors, employees, partners, agents or representatives of any of the foregoing have made any independent investigation with respect to SPAC, Kodiak or its subsidiaries or any of their respective businesses, or the Securities or the accuracy, completeness or adequacy of any information supplied to the Investor by SPAC.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8" w:right="439" w:bottom="1440" w:gutter="0" w:footer="0" w:header="0"/>
        </w:sectPr>
      </w:pPr>
    </w:p>
    <w:bookmarkStart w:id="64" w:name="page65"/>
    <w:bookmarkEnd w:id="64"/>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 In connection with the issue and purchase of the Securities, no Placement Agent has acted as the Investor’s financial advisor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fiduciary.</w:t>
      </w:r>
    </w:p>
    <w:p>
      <w:pPr>
        <w:spacing w:after="0" w:line="207"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x. The Investor, when required to deliver payment to SPAC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immediately available funds to pay the Subscription Amount and consummate the purchase and sale of the Securities pursuant to this Subscription Agreement.</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y. As of the date of this Subscription Agreement, the Investor does not have, and during the 30 day period immediately prior to the date of this Subscription Agreement, the Investor has not entered into, any “put equivalent position” as such term is defined in Rule 16a-1 under the Exchange Act or short sale positions with respect to the securities of SPAC. Notwithstanding the foregoing, the Investor makes no such representation with respect to any assets of the Investor managed by an external investment manager pursuant to a separately managed account arrangement.</w:t>
      </w:r>
    </w:p>
    <w:p>
      <w:pPr>
        <w:spacing w:after="0" w:line="18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z. The Investor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SPAC (within the meaning of Rule 13d-5(b)(1) under the Exchange Act), other than a group consisting solely of the Investor and its affiliates.</w:t>
      </w:r>
    </w:p>
    <w:p>
      <w:pPr>
        <w:spacing w:after="0" w:line="180" w:lineRule="exact"/>
        <w:rPr>
          <w:sz w:val="20"/>
          <w:szCs w:val="20"/>
          <w:color w:val="auto"/>
        </w:rPr>
      </w:pPr>
    </w:p>
    <w:p>
      <w:pPr>
        <w:ind w:left="4" w:right="40" w:firstLine="987"/>
        <w:spacing w:after="0" w:line="253" w:lineRule="auto"/>
        <w:tabs>
          <w:tab w:leader="none" w:pos="1245"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or is acting on behalf of: (i)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and together with ERISA Plans,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Investor represents and warrants that (A) neither SPAC nor any of its affiliates has provided investment advice or has otherwise acted as the Plan’s fiduciary, with respect to its decision to acquire and hold the Securities; (B) none of the parties to the Transaction is or shall at any time be the Plan’s fiduciary with respect to any decision in connection with the Investor’s investment in the Securities; and (C) its purchase of the Securities will not result in a non-exempt prohibited transaction under Section 406 of ERISA or Section 4975 of the Code, or any applicable Similar Law.</w:t>
      </w:r>
    </w:p>
    <w:p>
      <w:pPr>
        <w:spacing w:after="0" w:line="1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70" w:lineRule="auto"/>
        <w:tabs>
          <w:tab w:leader="none" w:pos="1165" w:val="left"/>
        </w:tabs>
        <w:numPr>
          <w:ilvl w:val="2"/>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Shares are not registered in connection with the consummation of the Transaction, then on or prior to the Closing Date, and in no event later than 30 calendar days after the Closing Date (such deadline, the “</w:t>
      </w:r>
      <w:r>
        <w:rPr>
          <w:rFonts w:ascii="Times New Roman" w:cs="Times New Roman" w:eastAsia="Times New Roman" w:hAnsi="Times New Roman"/>
          <w:sz w:val="17"/>
          <w:szCs w:val="17"/>
          <w:u w:val="single" w:color="auto"/>
          <w:color w:val="auto"/>
        </w:rPr>
        <w:t>Filing Deadline</w:t>
      </w:r>
      <w:r>
        <w:rPr>
          <w:rFonts w:ascii="Times New Roman" w:cs="Times New Roman" w:eastAsia="Times New Roman" w:hAnsi="Times New Roman"/>
          <w:sz w:val="17"/>
          <w:szCs w:val="17"/>
          <w:color w:val="auto"/>
        </w:rPr>
        <w:t>”), SPAC will endeavor to file with the SEC (at its sole cost and expense) a registration statement registering the resale of the Shares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SPAC shall use its commercially reasonable efforts to have the Registration Statement declared effective as soon as practicable after the filing thereof, but no later than the earlier of</w:t>
      </w:r>
    </w:p>
    <w:p>
      <w:pPr>
        <w:spacing w:after="0" w:line="2" w:lineRule="exact"/>
        <w:rPr>
          <w:rFonts w:ascii="Times New Roman" w:cs="Times New Roman" w:eastAsia="Times New Roman" w:hAnsi="Times New Roman"/>
          <w:sz w:val="17"/>
          <w:szCs w:val="17"/>
          <w:color w:val="auto"/>
        </w:rPr>
      </w:pPr>
    </w:p>
    <w:p>
      <w:pPr>
        <w:jc w:val="both"/>
        <w:ind w:left="4" w:right="100" w:hanging="4"/>
        <w:spacing w:after="0" w:line="255" w:lineRule="auto"/>
        <w:tabs>
          <w:tab w:leader="none" w:pos="2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 (60) calendar days after the filing thereof (or ninety (90) calendar days after the filing thereof if the SEC notifies SPAC that it will “review” the Registration Statement) and (ii) five (5) business days after SPAC is notified (orally or in writing, whichever is earlier) by the SEC that the Registration Statement will not be “reviewed”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8" w:right="439" w:bottom="1440" w:gutter="0" w:footer="0" w:header="0"/>
        </w:sectPr>
      </w:pPr>
    </w:p>
    <w:bookmarkStart w:id="65" w:name="page66"/>
    <w:bookmarkEnd w:id="65"/>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or will not be subject to further review (such earlier date,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SPAC may amend the Registration Statement so as to convert the Registration Statement to a Registration Statement on Form S-3 at such time after SPAC becomes eligible to use such Form S-3. SPAC will use its commercially reasonable efforts to provide a draft of the Registration Statement to the Investor for review at least two (2) business days in advance of filing the Registration Statement. In no event shall the Investor be identified as a statutory underwriter in the Registration Statement. Notwithstanding the foregoing, if the SEC requires that the Investor be identified as a statutory underwriter in the Registration Statement, the Investor will have the option, in its sole and absolute discretion, to either (i) have the opportunity to cause SPAC to withdraw from the Registration Statement upon its prompt written request to SPAC, in which case SPAC’s obligation to register the Shares will be deemed satisfied or (ii) be included as such in the Registration Statement. SPAC’s obligations to include the Shares issued pursuant to this Subscription Agreement (or shares issued in exchange therefor) for resale in the Registration Statement are contingent upon the Investor furnishing in writing to SPAC such information regarding the Investor, the securities of SPAC held by the Investor and the intended method of disposition of such Shares, which shall be limited to non-underwritten public offerings, as shall be reasonably requested by SPAC to effect the registration of such Shares. Investor shall also execute documents in connection with such registration as SPAC may reasonably request that are customary of a selling stockholder in similar situations. Notwithstanding anything to the contrary in this Subscription Agreement, in connection with the obligations of SPAC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Investor shall not be required to execute any lock-up or similar agreement or otherwise be subject to any contractual restriction on the ability to transfer the Shares. Upon notification by the SEC that any Registration Statement has been declared effective by the SEC, within one (1) business day thereafter, SPAC shall file the final prospectus under Rule 424 of the Securities Act. SPAC agrees to cause such Registration Statement, or another shelf registration statement that includes the Shares to be sold pursuant to this Subscription Agreement, to remain effective until the earliest of: (i) the second anniversary of the Effectiveness Date of the Registration Statement registering all Shares for resale by the Investor; (ii) the date on which the Investor ceases to hold any Shares issued pursuant to this Subscription Agreement; or (iii) the first date on which the Investor is able to sell all of its Shares issued pursuant to this Subscription Agreement (or shares received in exchange therefor) under Rule 144 of the Securities Act without volume or manner of sale limitations. For purposes of clarification, any failure by SPAC to file the Registration Statement by the Filing Deadline or to effect such Registration Statement by the Effectiveness Date shall not otherwise relieve SPAC of its obligations to file or effect the Registration Statement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Notwithstanding the foregoing, if the SEC prevents SPAC from including any or all of the shares proposed to be registered under a Registration Statement due to limitations on the use of Rule 415 under the Securities Act for the resale of the Shares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by the applicable stockholders or otherwise, such Registration Statement shall register for resale the number of Shares which is equal to the maximum number of Shares as is permitted to be registered by the SEC. In such event, the number of Shares to be registered for each selling stockholder named in such Registration Statement shall be reduced pro rata among all such selling stockholders. In the event SPAC amends the Registration Statement in accordance with the foregoing, SPAC will use its commercially reasonable efforts to file with the SEC, as promptly as allowed by the SEC, one or more registration statements to register the resale of those Shares that were not registered on the initial Registration Statement, as so amended.</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980" w:right="140" w:firstLine="408"/>
        <w:spacing w:after="0" w:line="258" w:lineRule="auto"/>
        <w:tabs>
          <w:tab w:leader="none" w:pos="15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the Investor holds Preferred Stock or Conversion-Related Shares or, if shorter, two years from the Closing Date, SPAC will use commercially reasonable efforts to (1) qualify the Conversion-Related Shares for listing on a Stock Exchange, which shall be the stock exchange on which SPAC’s common stock is then listed, and (2) update or amend the Registration Statement as necessary to include the Conversion-Related Shares. For as long as the Investor holds Preferred Stock or Conversion-Related Shares or, if shorter, two years from the Closing Date, SPAC will use commercially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8" w:right="439" w:bottom="1440" w:gutter="0" w:footer="0" w:header="0"/>
        </w:sectPr>
      </w:pPr>
    </w:p>
    <w:bookmarkStart w:id="66" w:name="page67"/>
    <w:bookmarkEnd w:id="66"/>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984" w:right="100"/>
        <w:spacing w:after="0" w:line="281" w:lineRule="auto"/>
        <w:rPr>
          <w:sz w:val="20"/>
          <w:szCs w:val="20"/>
          <w:color w:val="auto"/>
        </w:rPr>
      </w:pPr>
      <w:r>
        <w:rPr>
          <w:rFonts w:ascii="Times New Roman" w:cs="Times New Roman" w:eastAsia="Times New Roman" w:hAnsi="Times New Roman"/>
          <w:sz w:val="17"/>
          <w:szCs w:val="17"/>
          <w:color w:val="auto"/>
        </w:rPr>
        <w:t>reasonable efforts to (A) make and keep public information available, as those terms are understood and defined in Rule 144, (B) file in a timely manner all reports and other documents with the SEC required under the Exchange Act and (C) provide all customary and reasonable cooperation necessary, in each case, to enable the Investor to resell the Conversion-Related Shares pursuant to the Registration Statement or Rule 144 of the Securities Act (when Rule 144 of the Securities Act becomes available to the Investor), as applicable.</w:t>
      </w:r>
    </w:p>
    <w:p>
      <w:pPr>
        <w:spacing w:after="0" w:line="56" w:lineRule="exact"/>
        <w:rPr>
          <w:sz w:val="20"/>
          <w:szCs w:val="20"/>
          <w:color w:val="auto"/>
        </w:rPr>
      </w:pPr>
    </w:p>
    <w:p>
      <w:pPr>
        <w:ind w:left="984" w:right="40" w:firstLine="408"/>
        <w:spacing w:after="0" w:line="270" w:lineRule="auto"/>
        <w:tabs>
          <w:tab w:leader="none" w:pos="1650"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as long as the Investor holds Warrants or Warrant-Related Shares or, if shorter, through the date of expiration, or redemption or termination of the Warrants in accordance with the provisions of the Warrants and the Warrant Agreement, SPAC will use commercially reasonable efforts to (1) qualify the Warrant-Related Shares for listing on a Stock Exchange, which shall be the stock exchange on which SPAC’s common stock is then listed, and (2) update or amend the Registration Statement as necessary to include the Warrant-Related Shares. For as long as the Investor holds Warrants or Warrant-Related Shares or, if shorter, through the date of expiration, or redemption or termination of the Warrants in accordance with the provisions of the Warrants and the Warrant Agreement, SPAC will use commercially reasonable efforts to (A) make and keep public information available, as those terms are understood and defined in Rule 144, (B) file in a timely manner all reports and other documents with the SEC required under the Exchange Act and (C) provide all customary and reasonable cooperation necessary, in each case, to enable the Investor to resell the Warrant-Related Shares pursuant to the Registration Statement or Rule 144 of the Securities Act (when Rule 144 of the Securities Act becomes available to the Investor), as applicable.</w:t>
      </w:r>
    </w:p>
    <w:p>
      <w:pPr>
        <w:spacing w:after="0" w:line="176" w:lineRule="exact"/>
        <w:rPr>
          <w:rFonts w:ascii="Times New Roman" w:cs="Times New Roman" w:eastAsia="Times New Roman" w:hAnsi="Times New Roman"/>
          <w:sz w:val="17"/>
          <w:szCs w:val="17"/>
          <w:color w:val="auto"/>
        </w:rPr>
      </w:pPr>
    </w:p>
    <w:p>
      <w:pPr>
        <w:ind w:left="4" w:right="40" w:firstLine="987"/>
        <w:spacing w:after="0" w:line="255" w:lineRule="auto"/>
        <w:tabs>
          <w:tab w:leader="none" w:pos="116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may suspend the use of any such Registration Statement if the board of directors of SPAC determines in good faith that either in order for such Registration Statement not to contain a material misstatement or omission, an amendment thereto would be needed to include information that would at that time not otherwise be required in a current, quarterly, or annual report under the Exchange Act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Notwithstanding the foregoing, (I) SPAC shall not so delay filing or so suspend the use of the Registration Statement for a period of more than sixty</w:t>
      </w:r>
    </w:p>
    <w:p>
      <w:pPr>
        <w:spacing w:after="0" w:line="2" w:lineRule="exact"/>
        <w:rPr>
          <w:rFonts w:ascii="Times New Roman" w:cs="Times New Roman" w:eastAsia="Times New Roman" w:hAnsi="Times New Roman"/>
          <w:sz w:val="18"/>
          <w:szCs w:val="18"/>
          <w:color w:val="auto"/>
        </w:rPr>
      </w:pPr>
    </w:p>
    <w:p>
      <w:pPr>
        <w:ind w:left="4" w:right="40" w:hanging="4"/>
        <w:spacing w:after="0" w:line="253" w:lineRule="auto"/>
        <w:tabs>
          <w:tab w:leader="none" w:pos="3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not more than twice or more than a total of ninety (90) calendar days, in each case in any three hundred sixty (360) day period and (II) SPAC shall use commercially reasonable efforts to make such Registration Statement available for the sale by the Investor of such securities as soon as practicable thereafter. SPAC shall use commercially reasonable efforts to cause its transfer agent to deliver unlegended shares of Common Stock to a transferee of an Investor in connection with any sale of Shares where, following such sale, subsequent public distribution of such shares shall not require registration under the Securities Act.</w:t>
      </w:r>
    </w:p>
    <w:p>
      <w:pPr>
        <w:spacing w:after="0" w:line="186"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17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shall remove any restrictive legend included on the certificates (or, in the case of book-entry shares, any other instrument or record) representing the Investor’s ownership of Shares, and SPAC shall issue a certificate (or evidence of the issuance of such securities in book-entry form) without such restrictive legend or any other restrictive legend to the Investor, if: (i) such Shares are sold or transferred pursuant to the effective Registration Statement or pursuant to Rule 144 where, following such, subsequent public distribution of such shares shall not require registration under the Securities Act,; or (ii) such Shares are eligible for sale pursuant to Section 4(a)(1) of the Securities Act or Rule 144 without volume or manner-of-sale restrictions and without the requirement for SPAC to be in compliance with the current public information required under Rule 144(c)(2) (or Rule 144(i)(2), if applicable). Following Rule 144 becoming available for the resale of such Shares without volume or manner-of-sale restrictions, SPAC, upon the written request of Investor and after providing SPAC with all customary documentation, shall instruct SPAC’s transfer agent to remove the legend from such Shares (in whatever form) and shall use commercially reasonable efforts to cause SPAC’s counsel to issue any legend removal opinion required by the transfer agent.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8" w:right="439" w:bottom="1440" w:gutter="0" w:footer="0" w:header="0"/>
        </w:sectPr>
      </w:pPr>
    </w:p>
    <w:bookmarkStart w:id="67" w:name="page68"/>
    <w:bookmarkEnd w:id="67"/>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7"/>
          <w:szCs w:val="17"/>
          <w:color w:val="auto"/>
        </w:rPr>
        <w:t>e. At its expense, SPAC shall use commercially reasonable efforts to advise the Investor within five (5) business days: (i) when a Registration Statement or any post-effective amendment thereto has been filed with the SEC and when such Registration Statement or post-effective amendment thereto has become effective; (ii) after it shall receive notice or obtain knowledge thereof, of any request by the SEC for amendments or supplements to any Registration Statement or the prospectus included in such Registration Statement or for additional information; (iii) after it shall have received notice or obtained knowledge thereof, of the issuance by the SEC of any stop order suspending the effectiveness of any Registration Statement or the initiation of any proceedings for such purpose; (iv) of the receipt by SPAC of any notification with respect to the suspension of the qualification of the Shares included in such Registration Statement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SPAC shall use commercially reasonable efforts to promptly provide written notice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notice sent by the SPAC pursuant to the preceding sentence shall not contain any material non-public information other than the description of such event, which the parties agree may constitute material non-public information. Upon the occurrence of any event contemplated in clauses (i) through (v) above, except for such times as SPAC is permitted under this Agreement to suspend, and has suspended, the use of a prospectus forming part of a Registration Statement, SPAC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in such Registration Statement, such prospectus will not include any untrue statement of a material fact or omit to state any material fact necessary to make the statements therein, in the light of the circumstances under which they were made, not misleading.</w:t>
      </w: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mean, as of any date of determination, the Conversion-Related Shares and the Warrant-Related Shares.</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“Warrant-Related Shares” shall mean, as of any date of determination, (i) the Warrant Shares, and (ii) any other equity security issued or issuable with respect to such Warrant Shares by way of share split, dividend, distribution, recapitalization, merger, exchange, replacement or similar event,</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“Investor” shall include any person or entity to which the rights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have been duly assigned.</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61" w:lineRule="auto"/>
        <w:tabs>
          <w:tab w:leader="none" w:pos="16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“Conversion-Related Shares” shall mean, as of any date of determination, (i) the Conversion Shares and (ii) any other equity security issued or issuable with respect to such Conversion Shares by way of share split, dividend, distribution, recapitalization, merger, exchange, replacement or similar event, and “Investor” shall include any person or entity to which the rights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have been duly assigned.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8" w:right="439" w:bottom="1440" w:gutter="0" w:footer="0" w:header="0"/>
        </w:sectPr>
      </w:pPr>
    </w:p>
    <w:bookmarkStart w:id="68" w:name="page69"/>
    <w:bookmarkEnd w:id="68"/>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g. Notwithstanding any termination of this Subscription Agreement, SPAC shall indemnify, defend and hold harmless the Investor, the officers, directors, partners, members, managers, stockholders, and employees of the Investor, each person who controls the Investor (within the meaning of Section 15 of the Securities Act or Section 20 of the Exchange Act) and the officers, directors, partners, members, managers, stockholders, and employees of each such controlling person, to the fullest extent permitted by applicable law, from and against any and all losses, claims, damages, liabilities, reasonable and documented costs (including, without limitation, reasonable and documented out-of-pocket attorneys’ fees) and reasonable and documented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that arise out of or are based upon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The indemnity obligation set forth in this Section 7(g) shall not apply, however, to the extent that any untrue statements, alleged untrue statements, omissions or alleged omissions are based upon information regarding the Investor furnished in writing to SPAC by the Investor expressly for use in any of the SEC filings referenced in this Section 7(g). SPAC shall notify the Investor promptly of the institution, threat or assertion of any proceeding arising from or in connection with the transactions contemplated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which SPAC is aware. Notwithstanding the forgoing, SPAC’s indemnification obligations shall not apply to amounts paid in settlement of any Losses or action if such settlement is effected without the prior written consent of SPAC.</w:t>
      </w:r>
    </w:p>
    <w:p>
      <w:pPr>
        <w:spacing w:after="0" w:line="19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 The Investor shall, severally and not jointly with any Other Investor, indemnify and hold harmless SPAC, its directors, officers, partners, members, managers, stockholders, agents and employees, each person who controls SPAC (within the meaning of Section 15 of the Securities Act and Section 20 of the Exchange Act), and the directors, officers, partners, members, managers, stockholders,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the Investor furnished in writing to SPAC by the Investor expressly for use therein. Notwithstanding the forgoing, the Investor’s indemnification obligations shall not apply to amounts paid in settlement of any Losses or action if such settlement is effected without the prior written consent of the Investor.</w:t>
      </w:r>
    </w:p>
    <w:p>
      <w:pPr>
        <w:spacing w:after="0" w:line="19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i. Any person or entity entitled to indemnification pursuant to this Subscription Agreement shall (A) give prompt written notice to the indemnifying party of any claim with respect to which it seeks indemnification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Notwithstanding the foregoing, the failure to give prompt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8" w:right="439" w:bottom="1440" w:gutter="0" w:footer="0" w:header="0"/>
        </w:sectPr>
      </w:pPr>
    </w:p>
    <w:bookmarkStart w:id="69" w:name="page70"/>
    <w:bookmarkEnd w:id="69"/>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notice shall not impair any person’s or entity’s right to indemnification under this Subscription Agreement to the extent such failure has not prejudiced the indemnifying party.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Without the consent of the indemnified party, no indemnifying party shall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an unconditional release of the indemnified party from all liability in respect to such claim or litigation.</w:t>
      </w:r>
    </w:p>
    <w:p>
      <w:pPr>
        <w:spacing w:after="0" w:line="19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j. 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176" w:lineRule="exact"/>
        <w:rPr>
          <w:sz w:val="20"/>
          <w:szCs w:val="20"/>
          <w:color w:val="auto"/>
        </w:rPr>
      </w:pPr>
    </w:p>
    <w:p>
      <w:pPr>
        <w:ind w:right="60" w:firstLine="991"/>
        <w:spacing w:after="0" w:line="269" w:lineRule="auto"/>
        <w:rPr>
          <w:sz w:val="20"/>
          <w:szCs w:val="20"/>
          <w:color w:val="auto"/>
        </w:rPr>
      </w:pPr>
      <w:r>
        <w:rPr>
          <w:rFonts w:ascii="Times New Roman" w:cs="Times New Roman" w:eastAsia="Times New Roman" w:hAnsi="Times New Roman"/>
          <w:sz w:val="17"/>
          <w:szCs w:val="17"/>
          <w:color w:val="auto"/>
        </w:rPr>
        <w:t xml:space="preserve">k. If the indemnification provided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from the indemnifying party is unavailable or insufficient to hold harmless an indemnified party in respect of any Losses referred to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Notwithstanding the foregoing, the liability of the Investor shall be limited to the net proceeds received by such Investor from the sale of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Subject to the limitations set forth in this Section 7, the amount paid or payable by a party as a result of the Losses shall be deemed to include any reasonable and documented out-of-pocket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7"/>
          <w:szCs w:val="17"/>
          <w:u w:val="single" w:color="auto"/>
          <w:color w:val="auto"/>
        </w:rPr>
        <w:t>Section 7(k)</w:t>
      </w:r>
      <w:r>
        <w:rPr>
          <w:rFonts w:ascii="Times New Roman" w:cs="Times New Roman" w:eastAsia="Times New Roman" w:hAnsi="Times New Roman"/>
          <w:sz w:val="17"/>
          <w:szCs w:val="17"/>
          <w:color w:val="auto"/>
        </w:rPr>
        <w:t xml:space="preserve"> from any person or entity who was not guilty of such fraudulent misrepresentation.</w:t>
      </w:r>
    </w:p>
    <w:p>
      <w:pPr>
        <w:spacing w:after="0" w:line="176" w:lineRule="exact"/>
        <w:rPr>
          <w:sz w:val="20"/>
          <w:szCs w:val="20"/>
          <w:color w:val="auto"/>
        </w:rPr>
      </w:pPr>
    </w:p>
    <w:p>
      <w:pPr>
        <w:ind w:right="60" w:firstLine="436"/>
        <w:spacing w:after="0" w:line="253"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to this Subscription Agreement shall terminate without any further liability on the part of any party in respect thereof, upon the earlier to occur of: (a) such date and time as the Business Combination Agreement is terminated in accordance with its terms; (b) upon the mutual written agreement of each of the parties and Kodiak to terminate this Subscription Agreement; (c) thirty (30) days after the Outside Date (as defined in the Business Combination Agreement as in effect on the date of this Subscription Agreement), if the Closing has not occurred by such date other than as a result of a breach of Investor’s obligations under this Subscription Agreement;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(i) not satisfied or waived prior to the Closing or (ii) not capable of being satisfied on the Closing and, in each case of (i) and (ii), as a result thereof, the transactions contemplated by this Subscription Agreement will not be and are not consummated at the Closing (the termination events described in clauses (a)–(d) above, collectively, the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Nothing in this Subscription Agreement will relieve, however, any party from liability for any willful breach of this Subscription Agreement prior to the time of termination. Each party will be entitled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8" w:right="439" w:bottom="1440" w:gutter="0" w:footer="0" w:header="0"/>
        </w:sectPr>
      </w:pPr>
    </w:p>
    <w:bookmarkStart w:id="70" w:name="page71"/>
    <w:bookmarkEnd w:id="70"/>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left="4" w:right="140"/>
        <w:spacing w:after="0" w:line="255" w:lineRule="auto"/>
        <w:rPr>
          <w:sz w:val="20"/>
          <w:szCs w:val="20"/>
          <w:color w:val="auto"/>
        </w:rPr>
      </w:pPr>
      <w:r>
        <w:rPr>
          <w:rFonts w:ascii="Times New Roman" w:cs="Times New Roman" w:eastAsia="Times New Roman" w:hAnsi="Times New Roman"/>
          <w:sz w:val="18"/>
          <w:szCs w:val="18"/>
          <w:color w:val="auto"/>
        </w:rPr>
        <w:t xml:space="preserve">to any remedies at law or in equity to recover losses, liabilities or damages arising from any such willful breach. SPAC shall notify the Investor in writing of the termination of the Business Combination Agreement promptly after the termination of the Business Combination Agreement. Upon the occurrence of any Termination Event, this Subscription Agreement shall be void and of no further effect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Subscription Agreement will survive any termination of the Subscription Agreement and continue indefinitely). Following the Termination Event, any monies paid by the Investor to SPAC in connection with this Subscription Agreement shall promptly (and in any event within one business day) be returned to the Investor without any deduction for or on account of any tax, withholding, charges, or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-168275</wp:posOffset>
            </wp:positionV>
            <wp:extent cx="28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left="4" w:right="60" w:firstLine="436"/>
        <w:spacing w:after="0" w:line="272" w:lineRule="auto"/>
        <w:tabs>
          <w:tab w:leader="none" w:pos="624"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The Investor acknowledges that SPAC is a blank check company with the powers and privileges to effect a merger, asset acquisition, reorganization or similar business combination involving SPAC and one or more businesses or assets. As described in SPAC’s prospectus relating to its initial public offering dated April 24, 2023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available at www.sec.gov, the Investor further acknowledges that:</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SPAC’s assets consist of the cash proceeds of SPAC’s initial public offering and private placement of its securities; and</w:t>
      </w:r>
    </w:p>
    <w:p>
      <w:pPr>
        <w:spacing w:after="0" w:line="9"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for the benefit of SPAC, its public shareholders and the underwriters of SPAC’s initial public offering. Except with respect to interest earned on the funds held in the Trust Account that may be released to SPAC to pay its tax obligations and to fund certain of its working capital requirements, the cash in the Trust Account may be disbursed only for the purposes set forth in the Prospectus. In consideration of SPAC entering into this Subscription Agreement, the receipt and sufficiency of which is acknowledged, the Investor irrevocably waives any and all right, title and interest, or any claim of any kind it has or may have in the future, in or to any monies held in the Trust Account. Investor agrees not to seek recourse against the Trust Account as a result of, or arising out of, this Subscription Agreement. Notwithstanding the foregoing,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deemed to limit or prohibit: (i) the Investor’s right to pursue a claim against SPAC for legal relief against assets held outside the Trust Account, for specific performance or other equitable relief; (ii) any claims that the Investor may have following the consummation of the Transaction against SPAC’s assets or funds that are not held in the Trust Account (including any funds that have been released from the Trust Account other than for distribution to shareholders and any assets that have been purchased or acquired with any such funds); or (iii) the Investor’s right, title, interest or claim to any monies held in the Trust Account by virtue of its record or beneficial ownership of Equity Interests currently outstanding on the date of this Subscription Agreement or acquired after the date of this Subscription Agreement (other than Securities to be acquired pursuant to this Subscription Agreement), pursuant to a validly exercised redemption right with respect to any such Equity Interests, except to the extent that the Investor has otherwise agreed in writing with SPAC to not exercise such redemption right.</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20" w:firstLine="99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Neither this Subscription Agreement nor any rights that may accrue to the parties hereunder (other than the Securities acquired under this Subscription Agreement, if any) may be transferred or assigned without the prior written consent of each of the other parties. Notwithstanding the foregoing, this Subscription Agreement and all or a portion of the Investor’s rights and obligations hereunder may be assigned to one or more fund or account managed by the same investment manager as the Investor or by or to an affiliate (as defined in Rule 12b-2 of the Exchange Act) of such investment manager without the prior consent of SPAC. Prior to such assignment being valid, any such assignee shall agree in writing to be bound by the terms of this Subscription Agreement. Notwithstanding the foregoing, no assignment pursuant to clause (i)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relieve the Investor of its obligations under this Subscription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68" w:right="439" w:bottom="1440" w:gutter="0" w:footer="0" w:header="0"/>
        </w:sectPr>
      </w:pPr>
    </w:p>
    <w:bookmarkStart w:id="71" w:name="page72"/>
    <w:bookmarkEnd w:id="71"/>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SPAC may request from the Investor such additional information as SPAC deems reasonably necessary to register the resale of the Securities and evaluate the eligibility of the Investor to acquire the Securities. Investor agrees to promptly provide such information as may reasonably be requested to the extent readily available. SPAC agrees to keep any such information provided by Investor confidential except: (i) as necessary to include in any registration statement SPAC is required to file under this Subscription Agreement;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SPAC’s securities are listed for trading. The Investor acknowledges and agrees that if it does not provide SPAC with such requested information, SPAC may not be able to register the Investor’s Shares for resale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 such event, Investor also agrees that, without any liability under this Subscription Agreement, SPAC may reject the Investor’s Subscription Amount prior to the Closing Date in the event the Investor fails to provide such additional information requested by SPAC to evaluate the Investor’s eligibility or SPAC’s determines that the Investor is not eligible. The Investor acknowledges that SPAC may file a form of this Subscription Agreement with the SEC as an exhibit to a periodic report or a registration statement of SPAC.</w:t>
      </w:r>
    </w:p>
    <w:p>
      <w:pPr>
        <w:spacing w:after="0" w:line="192"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The Investor acknowledges that SPAC, Kodiak and the Placement Agents will rely on the acknowledgments, understandings, agreements, representations and warranties of the Investor contained in this Subscription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Prior to the Closing, the Investor agrees to promptly notify SPAC and Kodiak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 are no longer accurate in any material respect (other than those acknowledgments, understandings, agreements, representations and warranties qualified by materiality, in which case the Investor shall notify SPAC if they are no longer accurate in any respect). If SPAC receives such notice from Investor, SPAC will use commercially reasonable efforts to promptly notify the Placement Agents. The Investor acknowledges and agrees that each purchase by the Investor of Securities from SPAC will constitute a reaffirmation of the acknowledgments, understandings, agreements, representations and warranties in this Subscription Agreement (as modified by any such notice) by the Investor as of the time of such purchase contained in this Subscription Agreement. Prior to the Closing, SPAC agrees to promptly notify the Investor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 are no longer accurate in any material respect (other than those acknowledgments, understandings, agreements, representations and warranties qualified by materiality or Material Adverse Effect, in which case SPAC shall notify the Investor if they are no longer accurate in any respect). SPAC acknowledges and agrees that each sale by SPAC of Securities to the Investor will constitute a reaffirmation of the acknowledgments, understandings, agreements, representations and warranties in this Subscription Agreement (as modified by any such notice) by SPAC as of the time of such purchase.</w:t>
      </w:r>
    </w:p>
    <w:p>
      <w:pPr>
        <w:spacing w:after="0" w:line="19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SPAC, the Investor, Kodiak and the Placement Agents are each entitled to rely upon this Subscription Agreement and each is irrevocably authorized to produce this Subscription Agreement or a copy of this Subscription Agreement to any interested party in any administrative or legal proceeding or official inquiry with respect to the matters covered under this Subscription Agreement. The foregoing clause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shall not, however, give Kodiak or the Placement Agents any rights other than those expressly set forth in this Subscription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All of the agreements, representations and warranties made by each party in this Subscription Agreement shall survive the Closing.</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This Subscription Agreement may not be modified, waived or terminated (other than pursuant to the terms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except by an instrument in writing, signed by each of the parties. No such modification or waiver by SPAC of the provisions of this Subscription Agreement shall be effective without the prior written consent of Kodiak (other than modifications or waivers that are solely ministerial in nature or otherwise immaterial and do not affect any economic or any other material term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8" w:right="439" w:bottom="1440" w:gutter="0" w:footer="0" w:header="0"/>
        </w:sectPr>
      </w:pPr>
    </w:p>
    <w:bookmarkStart w:id="72" w:name="page73"/>
    <w:bookmarkEnd w:id="72"/>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Subscription Agreement). No failure or delay of either party in exercising any right or remedy under this Subscription Agreement shall operate as a waiver of such right or remedy.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under this Subscription Agreement are cumulative and are not exclusive of any rights or remedies that the parties would otherwise have.</w:t>
      </w:r>
    </w:p>
    <w:p>
      <w:pPr>
        <w:spacing w:after="0" w:line="183"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g. This Subscription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constitutes the entire agreement, and supersedes all other prior agreements, understandings, representations and warranties, both written and oral, among the parties, with respect to the subject matter of the Subscription Agreement. Except as set forth in Section 7 with respect to any indemnified person,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10(g), the last sentence of Section 10(k)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 respect to the persons specifically referenced in that Section,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Section 10(c) with respect to the Placement Agents, this Subscription Agreement shall not confer any rights or remedies upon any person other than the parties, and their respective successors and assigns. The parties acknowledge and agree that only those persons specifically referenced in the preceding sentence are third party beneficiaries of this Subscription Agreement with right of enforcement for the purposes of, and to the extent of, the rights granted to them, if any, pursuant to the applicable provisions.</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h. Except as otherwise provided in this Subscription Agreement, this Subscription Agreement shall be binding upon, and inure to the benefit of the parties and their heirs, executors, administrators, successors, legal representatives, and permitted assigns. The agreements, representations, warranties, covenants and acknowledgments contained in this Subscription Agreement shall be deemed to be made by, and be binding upon, such heirs, executors, administrators, successors, legal representatives and permitted assigns.</w:t>
      </w:r>
    </w:p>
    <w:p>
      <w:pPr>
        <w:spacing w:after="0" w:line="180" w:lineRule="exact"/>
        <w:rPr>
          <w:sz w:val="20"/>
          <w:szCs w:val="20"/>
          <w:color w:val="auto"/>
        </w:rPr>
      </w:pPr>
    </w:p>
    <w:p>
      <w:pPr>
        <w:ind w:right="260" w:firstLine="991"/>
        <w:spacing w:after="0" w:line="254" w:lineRule="auto"/>
        <w:rPr>
          <w:sz w:val="20"/>
          <w:szCs w:val="20"/>
          <w:color w:val="auto"/>
        </w:rPr>
      </w:pPr>
      <w:r>
        <w:rPr>
          <w:rFonts w:ascii="Times New Roman" w:cs="Times New Roman" w:eastAsia="Times New Roman" w:hAnsi="Times New Roman"/>
          <w:sz w:val="18"/>
          <w:szCs w:val="18"/>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by such court and shall continue in full force and effect so long as this Subscription Agreement as so modified continues to express, without material change, the original intentions of the parties as to the subject matter of this Subscription Agreement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j. This Subscription Agreement may be executed and delivered in one or more counterparts (including by facsimile or any other form of electronic delivery (including.pdf or any electronic signature complying with the U.S. federal ESIGN Act of 2000, e.g., www.docusign.com or other transmission method))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k. The parties acknowledge and agree that irreparable damage would occur in the event that any of the provisions of this Subscription Agreement were not performed in accordance with their specific terms or were otherwise breached. Consequently, the parties acknowledge and agree that a party shall be entitled to an injunction or injunctions to prevent breaches of this Subscription Agreement, without posting a bond or undertaking and without proof of damages, to enforce specifically the terms and provisions of this Subscription Agreement. The parties also acknowledge and agree that the foregoing equitable remedies shall be in addition to any other remedy to which such party is entitled at law, in equity, in contract, in tort or otherwise.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8" w:right="439" w:bottom="1440" w:gutter="0" w:footer="0" w:header="0"/>
        </w:sectPr>
      </w:pPr>
    </w:p>
    <w:bookmarkStart w:id="73" w:name="page74"/>
    <w:bookmarkEnd w:id="73"/>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l. If any change in the number, type or classes of authorized shares of SPAC (including the Shares), other than as contemplated by the Business Combination Agreement, or any agreement contemplated by the Business Combination, shall occur between the date of this Subscription Agreement and immediately prior to the Closing by reason of reclassification, recapitalization, stock split (including reverse stock split) or combination, exchange or readjustment of shares, or any stock dividend, the number of Shares issued to the Investor and Per Share Purchase Price shall be appropriately adjusted to reflect such change.</w:t>
      </w:r>
    </w:p>
    <w:p>
      <w:pPr>
        <w:spacing w:after="0" w:line="183"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m. This Subscription Agreement shall be governed by and construed in accordance with the laws of the State of Delaware as to all matters (including any action, suit, litigation, arbitration, mediation, claim, charge, complaint, inquiry, proceeding, hearing, audit, investigation or reviews by or before any governmental entity related), including matters of validity, construction, effect, performance and remedies.</w:t>
      </w:r>
    </w:p>
    <w:p>
      <w:pPr>
        <w:spacing w:after="0" w:line="176" w:lineRule="exact"/>
        <w:rPr>
          <w:sz w:val="20"/>
          <w:szCs w:val="20"/>
          <w:color w:val="auto"/>
        </w:rPr>
      </w:pPr>
    </w:p>
    <w:p>
      <w:pPr>
        <w:ind w:right="80" w:firstLine="991"/>
        <w:spacing w:after="0" w:line="251" w:lineRule="auto"/>
        <w:rPr>
          <w:sz w:val="20"/>
          <w:szCs w:val="20"/>
          <w:color w:val="auto"/>
        </w:rPr>
      </w:pPr>
      <w:r>
        <w:rPr>
          <w:rFonts w:ascii="Times New Roman" w:cs="Times New Roman" w:eastAsia="Times New Roman" w:hAnsi="Times New Roman"/>
          <w:sz w:val="18"/>
          <w:szCs w:val="18"/>
          <w:color w:val="auto"/>
        </w:rPr>
        <w:t xml:space="preserve">n. Each party under this Subscription Agreement, and any person asserting rights as a third party beneficiary in accordance with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xml:space="preserve"> may do so only if he, she or it, irrevocably agrees that any action, suit or proceeding between or among the parties, whether arising in contract, tort or otherwise, arising in connection with any disagreement, dispute, controversy or claim arising out of or relating to this Subscription Agreement or any related document or any of the transactions contemplated under this Subscription Agreement or any related document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shall be brought exclusively in the Court of Chancery of the State of Delaware and any state appellate court therefrom within the State of Delaware (or, but only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Each party under this Subscription Agreement consents to the jurisdiction of the Chosen Courts in any such suit, action or proceeding. To the fullest extent permitted by law, each party irrevocably waives, any objection that it may now or hereafter have to the laying of the venue of any such suit, action or proceeding in the Chosen Courts or that any such suit, action or proceeding that is brought in the Chosen Courts has been brought in an inconvenient forum. During the period a Legal Dispute that is filed in accordance with this </w:t>
      </w:r>
      <w:r>
        <w:rPr>
          <w:rFonts w:ascii="Times New Roman" w:cs="Times New Roman" w:eastAsia="Times New Roman" w:hAnsi="Times New Roman"/>
          <w:sz w:val="18"/>
          <w:szCs w:val="18"/>
          <w:u w:val="single" w:color="auto"/>
          <w:color w:val="auto"/>
        </w:rPr>
        <w:t>Section 10(n)</w:t>
      </w:r>
      <w:r>
        <w:rPr>
          <w:rFonts w:ascii="Times New Roman" w:cs="Times New Roman" w:eastAsia="Times New Roman" w:hAnsi="Times New Roman"/>
          <w:sz w:val="18"/>
          <w:szCs w:val="18"/>
          <w:color w:val="auto"/>
        </w:rPr>
        <w:t xml:space="preserve"> is pending before the Chosen Courts, all actions, suits or proceedings with respect to such Legal Dispute or any other Legal Dispute, including any counterclaim, cross-claim or interpleader, shall be subject to the exclusive jurisdiction of the Chosen Courts. Each party and any person asserting rights as a third party beneficiary may do so only if he, she or it waives, and shall not assert as a defense in any Legal Dispute, that: (a) such party is not personally subject to the jurisdiction of the Chosen Courts for any reason; (b) such action, suit or proceeding may not be brought or is not maintainable in the Chosen Courts; (c) such party’s property is exempt or immune from execution; (d) such action, suit or proceeding is brought in an inconvenient forum; or (e) the venue of such action, suit or proceeding is improper. A final judgment in any action, suit or proceeding described in this </w:t>
      </w:r>
      <w:r>
        <w:rPr>
          <w:rFonts w:ascii="Times New Roman" w:cs="Times New Roman" w:eastAsia="Times New Roman" w:hAnsi="Times New Roman"/>
          <w:sz w:val="18"/>
          <w:szCs w:val="18"/>
          <w:u w:val="single" w:color="auto"/>
          <w:color w:val="auto"/>
        </w:rPr>
        <w:t>Section 10(n)</w:t>
      </w:r>
      <w:r>
        <w:rPr>
          <w:rFonts w:ascii="Times New Roman" w:cs="Times New Roman" w:eastAsia="Times New Roman" w:hAnsi="Times New Roman"/>
          <w:sz w:val="18"/>
          <w:szCs w:val="18"/>
          <w:color w:val="auto"/>
        </w:rPr>
        <w:t xml:space="preserve"> following the expiration of any period permitted for appeal and subject to any stay during appeal shall be conclusive and may be enforced in other jurisdictions by suit on the judgment or in any other manner provided by applicable laws. EACH OF THE PARTIES AND ANY PERSON ASSERTING RIGHTS AS A THIRD PARTY BENEFICIARY MAY DO SO ONLY IF HE, SHE OR IT IRREVOCABLY AND UNCONDITIONALLY WAIVES ANY RIGHT TO TRIAL BY JURY ON ANY CLAIMS OR COUNTERCLAIMS ASSERTED IN ANY LEGAL DISPUTE RELATING TO THIS SUBSCRIPTION AGREEMENT OR THE TRANSACTIONS CONTEMPLATED UNDER THIS SUBSCRIPTION AGREEMENT AND FOR ANY COUNTERCLAIM RELATING THERETO. IF THE SUBJECT MATTER OF ANY SUCH LEGAL DISPUTE IS ONE IN WHICH THE WAIVER OF JURY TRIAL IS PROHIBITED, NO PARTY NOR ANY PERSON ASSERTING RIGHTS AS A THIRD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8" w:right="4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PARTY BENEFICIARY SHALL ASSERT IN SUCH LEGAL DISPUTE A NONCOMPULSORY COUNTERCLAIM ARISING OUT OF OR RELATING TO THIS SUBSCRIPTION AGREEMENT OR THE TRANSACTIONS CONTEMPLATED UNDER THIS SUBSCRIPTION AGREEMENT. FURTHERMORE, NO PARTY NOR ANY PERSON ASSERTING RIGHTS AS A THIRD PARTY BENEFICIARY SHALL SEEK TO CONSOLIDATE ANY SUCH LEGAL DISPUTE WITH A SEPARATE ACTION OR OTHER LEGAL PROCEEDING IN WHICH A JURY TRIAL CANNOT BE WAIVED.</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o. Any notice or communication required or permitted under this Subscription Agreement to any Investor shall be in writing and either delivered personally, emailed or sent by overnight mail via a reputable overnight carrier, or sent by certified or registered mail, postage prepaid, to such address(es) or email address(es) set forth on the signature page. Any such communication or notice shall be deemed to be given and received: (i) when so delivered personally; (ii) when sent, with no mail undeliverable or other rejection notice, if sent by email; or (iii) three business days after the date of mailing to the address below or to such other address or addresses as the Investor may hereafter designate by notice to SPAC.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SPAC,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Management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1800 Avenue of the Stars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Philippa Bond, P.C.; Van Whiting</w:t>
      </w:r>
    </w:p>
    <w:p>
      <w:pPr>
        <w:spacing w:after="0" w:line="9" w:lineRule="exact"/>
        <w:rPr>
          <w:sz w:val="20"/>
          <w:szCs w:val="20"/>
          <w:color w:val="auto"/>
        </w:rPr>
      </w:pPr>
    </w:p>
    <w:p>
      <w:pPr>
        <w:jc w:val="right"/>
        <w:ind w:right="91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10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Kodiak AI,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8" w:right="4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firstLine="436"/>
        <w:spacing w:after="0" w:line="251" w:lineRule="auto"/>
        <w:tabs>
          <w:tab w:leader="none" w:pos="7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xml:space="preserve">. The Investor acknowledges that it is not relying upon, and has not relied upon, and is expressly disclaiming reliance on any statement, representation or warranty made by any person, firm or corporation (including, without limitation, </w:t>
      </w:r>
      <w:r>
        <w:rPr>
          <w:rFonts w:ascii="Times New Roman" w:cs="Times New Roman" w:eastAsia="Times New Roman" w:hAnsi="Times New Roman"/>
          <w:sz w:val="18"/>
          <w:szCs w:val="18"/>
          <w:u w:val="single" w:color="auto"/>
          <w:color w:val="auto"/>
        </w:rPr>
        <w:t>the Placement Agents</w:t>
      </w:r>
      <w:r>
        <w:rPr>
          <w:rFonts w:ascii="Times New Roman" w:cs="Times New Roman" w:eastAsia="Times New Roman" w:hAnsi="Times New Roman"/>
          <w:sz w:val="18"/>
          <w:szCs w:val="18"/>
          <w:color w:val="auto"/>
        </w:rPr>
        <w:t>, any of their respective affiliates or any control persons, officers, directors, employees, partners, agents or representatives of any of the foregoing), other than the statements, representations and warranties of SPAC expressly contained in this Subscription Agreement, in making its investment or decision to invest in SPAC. The Investor acknowledges and agrees that none of (i) any Other Investor pursuant to any Other Subscription Agreements related to the private placement of the Securities (including such Other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party to the Business Combination Agreement or any Non-Party Affiliate (as defined below) other than SPAC as expressly provided for in this Subscription Agreement, shall have any liability to the Investor, or to any Other Investor, pursuant to, arising out of or relating to: (x) this Subscription Agreement or any Other Subscription Agreements related to the private placement of the Securities or other Equity Interests; (y) the negotiation of this Subscription Agreement, its subject matter or the private placement of the Securities; or (z) the transactions contemplated under this Subscription Agreement or under any Other Subscription Agreements related to the private placement of the Securities or other Equity Interests. Without limiting the generality of the foregoing, the prohibition on liability set forth in the preceding sentence shall apply only to any action heretofore or hereafter taken or omitted to be taken by any of them in connection with: (i) the purchase of the Securities or with respect to any claim (whether in tort, contract or otherwise) for breach of this Subscription Agreement; (ii) any written or oral representations made or alleged to be made in connection with this Subscription Agreement, as expressly provided in this Subscription Agreement; or</w:t>
      </w:r>
    </w:p>
    <w:p>
      <w:pPr>
        <w:spacing w:after="0" w:line="10" w:lineRule="exact"/>
        <w:rPr>
          <w:rFonts w:ascii="Times New Roman" w:cs="Times New Roman" w:eastAsia="Times New Roman" w:hAnsi="Times New Roman"/>
          <w:sz w:val="18"/>
          <w:szCs w:val="18"/>
          <w:color w:val="auto"/>
        </w:rPr>
      </w:pPr>
    </w:p>
    <w:p>
      <w:pPr>
        <w:ind w:left="4" w:right="60" w:hanging="4"/>
        <w:spacing w:after="0" w:line="253" w:lineRule="auto"/>
        <w:tabs>
          <w:tab w:leader="none" w:pos="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inaccuracies, misstatements or omissions with respect to any information or materials of any kind furnished by SPAC, Kodiak, the Placement Agents or any Non-Party Affiliate concerning SPAC, Kodiak, the Placement Agents, any of their controlled affiliates, this Subscription Agreement or the transactions contemplated under this Subscription Agreement.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means each former, current or future officer, director, employee, partner, member, manager, direct or indirect equityholder or affiliate of SPAC, Kodiak, any Placement Agent or any of SPAC’s, Kodiak’s or any Placement Agent’s controlled affiliates or any family member of the foregoing.</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By 9:00 a.m., New York City time, on the first business day immediately following the date of this Subscription Agreement (the</w:t>
      </w:r>
    </w:p>
    <w:p>
      <w:pPr>
        <w:spacing w:after="0" w:line="27"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SPAC shall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to the extent not previously disclosed, disclosing all material terms of the transactions contemplated under this Subscription Agreement and by the Other Subscription Agreements and the Business Combination Agreement, the Transaction and any other material, nonpublic information that SPAC, Kodiak or any of their officers, directors, affiliates, employees or agents, including, without limitation, the Placement Agents has provided to the Investor at any time prior to the filing of the Disclosure Document. Upon the issuance of the Disclosure Document, to the knowledge of SPAC, the Investor shall not be in possession of any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68" w:right="439"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material, non-public information received from SPAC, Kodiak or any of their officers, directors, affiliates, employees or agents, including, without limitation, the Placement Agents. Upon the earlier of (i) the Disclosure Time and (ii) the issuance or filing of the Disclosure Document, Investor shall no longer be subject to any confidentiality or similar obligations under any current agreement, whether written or oral, with SPAC, Kodiak or any of its affiliates, officers, directors, employees or agents, including, without limitation, the Placement Agents, relating to the transactions contemplated by this Subscription Agreement. Notwithstanding anything in this Subscription Agreement to the contrary, SPAC shall not publicly disclose the name of the Investor or any of its affiliates or advisers, or include the name of the Investor or any of its affiliates or advisers in any press release or in any filing with the SEC or any regulatory agency or trading market, without the prior written consent of the Investor, except: (i) as required by the federal securities law or pursuant to other routine proceedings of regulatory authorities; (ii) to the extent such disclosure is required by law, at the request of the staff of the SEC or regulatory agency or under the regulations of any national securities exchange on which SPAC’s securities are listed for trading; or (iii) to the extent such announcements or other communications contain only information previously disclosed in a public statement, press release or other communication previously approved in accordance with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Prior to any disclosure permitted under subclause (i) or (ii) of the preceding sentence, to the extent permitted under law, SPAC shall use commercially reasonable efforts to provide the Investor with prior written notice of such disclosure and shall reasonably consult with the Investor regarding such disclosure.</w:t>
      </w:r>
    </w:p>
    <w:p>
      <w:pPr>
        <w:spacing w:after="0" w:line="187" w:lineRule="exact"/>
        <w:rPr>
          <w:sz w:val="20"/>
          <w:szCs w:val="20"/>
          <w:color w:val="auto"/>
        </w:rPr>
      </w:pPr>
    </w:p>
    <w:p>
      <w:pPr>
        <w:ind w:left="700" w:hanging="264"/>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Market Purchases.</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16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Investor’s election, the number of Preferred Shares purchased by Investor and the corresponding number of Conversion Shares and Warrants the Investor is eligible to receive may be reduced on a one Preferred Share for 100 Class A ordinary shares, par value $0.0001 per share basis (the “Reduction Right”) up to an aggregate of Open-Market Purchase Shares and Currently Owned Shares, as applicable. The total number of shares of Common Stock into which the Investor’s shares of Preferred Stock are convertible on the date of Closing shall be correspondingly reduced and the Warrant received by the Investor shall be for 125% of the total number of shares of Common Stock into which the Investor’s shares of Preferred Stock are convertible on the date of Closing following the application of the foregoing reduction. For the purposes of this Section 13: (i) “Open-Market Purchase Shares” means Class A ordinary shares, par value $0.0001 per share, of SPAC purchased by the Investor for its own account pursuant to open-market transactions with third parties at a price of less than the Redemption Price (as defined in the Business Combination Agreement); (ii) “Currently Owned Shares” means any Class A ordinary shares, par value $0.0001 per share the Investor beneficially owns as of the date of this Subscription Agreement; and (iii) “Redemption Deadline” means the redemption deadline established in connection with the extraordinary general meeting of shareholders of SPAC held to approve the Transaction.</w:t>
      </w:r>
    </w:p>
    <w:p>
      <w:pPr>
        <w:spacing w:after="0" w:line="191" w:lineRule="exact"/>
        <w:rPr>
          <w:rFonts w:ascii="Times New Roman" w:cs="Times New Roman" w:eastAsia="Times New Roman" w:hAnsi="Times New Roman"/>
          <w:sz w:val="18"/>
          <w:szCs w:val="18"/>
          <w:color w:val="auto"/>
        </w:rPr>
      </w:pPr>
    </w:p>
    <w:p>
      <w:pPr>
        <w:ind w:right="140" w:firstLine="987"/>
        <w:spacing w:after="0" w:line="253" w:lineRule="auto"/>
        <w:tabs>
          <w:tab w:leader="none" w:pos="117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Reduction Right with respect to the Open Market Purchase Shares, the Investor must agree to: (A) not sell or otherwise transfer such Open-Market Purchase Shares prior to the consummation of the Transaction; (B) not vote any Open-Market Purchase Shares in favor of approving the Transaction or any extension of SPAC and instead submit a proxy abstaining from voting thereon; and (C) to the extent it has the right to have any of its Open-Market Purchase Shares redeemed for cash in connection with the consummation of the Transaction or in connection with any extension of SPAC, not exercise any such redemption rights (collectively, the “Open-Market Purchase Reduction Conditions”). To exercise the Reduction Right with respect to the Currently Owned Shares, the Investor must agree: (A) not sell or otherwise transfer such Currently Owned Shares prior to the consummation of the Transaction; (B) vote all of its Currently Owned Shares in favor of approving the Transaction or any extension of SPAC; and (C) to the extent it has the right to have any of its Currently Owned Shares redeemed for cash in connection with the consummation of the Transaction or in connection with any extension of SPAC, not exercise any such redemption rights (the “Currently Owned Shares Reduction Conditions”).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8" w:right="439" w:bottom="1440" w:gutter="0" w:footer="0" w:header="0"/>
        </w:sectPr>
      </w:pPr>
    </w:p>
    <w:bookmarkStart w:id="77" w:name="page78"/>
    <w:bookmarkEnd w:id="77"/>
    <w:p>
      <w:pPr>
        <w:ind w:left="101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7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c. No later than one (1) Business Day prior to the Redemption Deadline, the Investor shall deliver a certificate (an “Election Certificate”) signed by the Investor, certifying the number of Subscribed Shares for which Investor has elected to exercise its Reduction Right, including the number of corresponding Open-Market Purchase Shares and Currently Owned Shares, as applicable. With respect to any such Open-Market Purchase Shares, the Election Certificate shall state: (1) the date of such Open-Market Purchase; (2) the number of shares acquired in such Open-Market Purchase; (3) the price per share at which such Open-Market Purchase Shares were purchased by Investor; and (4) an affirmation that Investor has and will comply with the Open-Market Purchase Reduction Conditions. With respect to any such Currently Owned Shares, the Election Certificate shall contain an affirmation that Subscriber has and will comply with the Currently Owned Shares Reduction Condition. In the event that subsequent to exercising its Reduction Right, Investor desires to lower the number of Subscribed Shares subject to such reduction (i.e., increase the number of Subscribed Shares to be purchased pursuant to this Subscription Agreement), Investor may so amend the Certificate with the consent of SPAC.</w:t>
      </w:r>
    </w:p>
    <w:p>
      <w:pPr>
        <w:spacing w:after="0" w:line="188" w:lineRule="exact"/>
        <w:rPr>
          <w:sz w:val="20"/>
          <w:szCs w:val="20"/>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16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neither SPAC, Kodiak nor any of their respective controlled affiliates and subsidiaries (if any)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identify, or permit any of its employees, agents or representatives to identify, the Investor (whether in connection with SPAC or in the Investor’s capacity as an investor in SPAC) in any written or oral public communications or issue any press release or other disclosure of the Investor’s name or the name of any of its affiliates, or any derivative of any of the foregoing names (collectively, the “</w:t>
      </w:r>
      <w:r>
        <w:rPr>
          <w:rFonts w:ascii="Times New Roman" w:cs="Times New Roman" w:eastAsia="Times New Roman" w:hAnsi="Times New Roman"/>
          <w:sz w:val="18"/>
          <w:szCs w:val="18"/>
          <w:u w:val="single" w:color="auto"/>
          <w:color w:val="auto"/>
        </w:rPr>
        <w:t>Investor Names</w:t>
      </w:r>
      <w:r>
        <w:rPr>
          <w:rFonts w:ascii="Times New Roman" w:cs="Times New Roman" w:eastAsia="Times New Roman" w:hAnsi="Times New Roman"/>
          <w:sz w:val="18"/>
          <w:szCs w:val="18"/>
          <w:color w:val="auto"/>
        </w:rPr>
        <w:t>”), in each case except: (i) as authorized in writing by the Investor in each such instance (electronic mail to suffice); or (ii) as required by applicable law, legal process or regulatory request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Subject to Section 12, if disclosure is required pursuant the preceding sentence, the disclosing member of the Company Group will, as soon as practicable, notify the Investor of such requirement (except where prohibited by Applicable Law) so that the Investor (or its applicable affiliate) may seek a protective order or other appropriate remedy prior to such disclosure. Notwithstanding the foregoing, SPAC may make disclosures to an auditor or governmental or regulatory authority pursuant to any routine investigation, inspection, examination or inquiry without providing the Investor with any notification thereof, unless the Investor is the subject of any such investigation, inspection, examination or inquiry (in which case the preceding sentence shall govern).</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17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on behalf of itself and the other Company Parties, acknowledges and agrees that the acquisition of the Securities and the execution and adoption of this Subscription Agreement are not intended to establish, and shall not establish, an investment advisory relationship by and among, (i) on the one hand, the Investor or any affiliate, or any of its or their members, owners, partners, officers, directors, employees, agents or representatives (each, an “</w:t>
      </w:r>
      <w:r>
        <w:rPr>
          <w:rFonts w:ascii="Times New Roman" w:cs="Times New Roman" w:eastAsia="Times New Roman" w:hAnsi="Times New Roman"/>
          <w:sz w:val="18"/>
          <w:szCs w:val="18"/>
          <w:u w:val="single" w:color="auto"/>
          <w:color w:val="auto"/>
        </w:rPr>
        <w:t>Investor Party</w:t>
      </w:r>
      <w:r>
        <w:rPr>
          <w:rFonts w:ascii="Times New Roman" w:cs="Times New Roman" w:eastAsia="Times New Roman" w:hAnsi="Times New Roman"/>
          <w:sz w:val="18"/>
          <w:szCs w:val="18"/>
          <w:color w:val="auto"/>
        </w:rPr>
        <w:t>”), and (ii) on the other hand, any member of the Company Group or any of their respective officers, directors, shareholders, partners, members, employees, agents or representatives (each, a “</w:t>
      </w:r>
      <w:r>
        <w:rPr>
          <w:rFonts w:ascii="Times New Roman" w:cs="Times New Roman" w:eastAsia="Times New Roman" w:hAnsi="Times New Roman"/>
          <w:sz w:val="18"/>
          <w:szCs w:val="18"/>
          <w:u w:val="single" w:color="auto"/>
          <w:color w:val="auto"/>
        </w:rPr>
        <w:t>Company Party</w:t>
      </w:r>
      <w:r>
        <w:rPr>
          <w:rFonts w:ascii="Times New Roman" w:cs="Times New Roman" w:eastAsia="Times New Roman" w:hAnsi="Times New Roman"/>
          <w:sz w:val="18"/>
          <w:szCs w:val="18"/>
          <w:color w:val="auto"/>
        </w:rPr>
        <w:t>”), whereby any Investor Party serves as an investment adviser to any Company Party or that would otherwise result in any Investor Party meeting the definition of an investment adviser in Section 202(a)(11) of the Investment Advisers Act of 1940, as amended, with respect to any Company Party. Further, SPAC, on behalf of itself and the other Company Parties, acknowledges and agrees that the Company Parties are not relying upon any Investor Party for investment advice, analysis or recommendations regarding any investment or potential investment.</w:t>
      </w:r>
    </w:p>
    <w:p>
      <w:pPr>
        <w:spacing w:after="0" w:line="188" w:lineRule="exact"/>
        <w:rPr>
          <w:rFonts w:ascii="Times New Roman" w:cs="Times New Roman" w:eastAsia="Times New Roman" w:hAnsi="Times New Roman"/>
          <w:sz w:val="18"/>
          <w:szCs w:val="18"/>
          <w:color w:val="auto"/>
        </w:rPr>
      </w:pPr>
    </w:p>
    <w:p>
      <w:pPr>
        <w:ind w:right="540" w:firstLine="987"/>
        <w:spacing w:after="0" w:line="266" w:lineRule="auto"/>
        <w:tabs>
          <w:tab w:leader="none" w:pos="116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Standstill Termination Date, SPAC shall not, without the prior written consent of the Investors who purchased at least a majority of the Preferred Stock under the Subscription Agreements, issue, enter into any agreement to issue or announce the issuance of any shares of Common Stock or Common Stock Equivalents, in each case other than an Exempt Issuance.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8" w:right="4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jc w:val="both"/>
        <w:ind w:left="4" w:right="180" w:firstLine="436"/>
        <w:spacing w:after="0" w:line="276" w:lineRule="auto"/>
        <w:tabs>
          <w:tab w:leader="none" w:pos="714"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In addition to the terms defined elsewhere in this Subscription Agreement: (a) capitalized terms that are not otherwise defined in this Subscription Agreement have the meanings given to such terms in the Certificate of Designation (as defined in this Subscription Agreement), and</w:t>
      </w: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terms have the meanings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54" w:lineRule="exact"/>
        <w:rPr>
          <w:sz w:val="20"/>
          <w:szCs w:val="20"/>
          <w:color w:val="auto"/>
        </w:rPr>
      </w:pPr>
    </w:p>
    <w:p>
      <w:pPr>
        <w:ind w:left="444" w:right="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xml:space="preserve">” means the Certificate of Designation for the Preferred Stock to be filed prior to the Closing by SPAC with the Secretary of State of Delaware, in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 this Subscription Agreement.</w:t>
      </w:r>
    </w:p>
    <w:p>
      <w:pPr>
        <w:spacing w:after="0" w:line="54"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following the Domestication, the common stock of SPAC, par value $0.0001 per share, and any other class of securities into which such securities may be reclassified or changed after the date of this Subscription Agreement.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has the meeting set forth in the Certificate of Designation.</w:t>
      </w:r>
    </w:p>
    <w:p>
      <w:pPr>
        <w:spacing w:after="0" w:line="117"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shares of Common Stock issued and issuable upon conversion of the shares of Preferred Stock purchased pursuant to this Agreement in accordance with the terms of the Certificate of Designation.</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w:t>
      </w:r>
      <w:r>
        <w:rPr>
          <w:rFonts w:ascii="Times New Roman" w:cs="Times New Roman" w:eastAsia="Times New Roman" w:hAnsi="Times New Roman"/>
          <w:sz w:val="18"/>
          <w:szCs w:val="18"/>
          <w:color w:val="auto"/>
        </w:rPr>
        <w:t>e” has the meeting set forth in the Certificate of Designation.</w:t>
      </w:r>
    </w:p>
    <w:p>
      <w:pPr>
        <w:spacing w:after="0" w:line="117"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the 9.99% Series A Cumulative Convertible Preferred Stock” having the rights, preferences and privileges set forth in the Certificate of Designation.</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means the shares of Preferred Stock.</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of Preferred Stock, Conversion Shares, Warrants and the Warrant Shares.</w:t>
      </w:r>
    </w:p>
    <w:p>
      <w:pPr>
        <w:spacing w:after="0" w:line="117" w:lineRule="exact"/>
        <w:rPr>
          <w:sz w:val="20"/>
          <w:szCs w:val="20"/>
          <w:color w:val="auto"/>
        </w:rPr>
      </w:pPr>
    </w:p>
    <w:p>
      <w:pPr>
        <w:ind w:left="444" w:right="7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Termination Date</w:t>
      </w:r>
      <w:r>
        <w:rPr>
          <w:rFonts w:ascii="Times New Roman" w:cs="Times New Roman" w:eastAsia="Times New Roman" w:hAnsi="Times New Roman"/>
          <w:sz w:val="18"/>
          <w:szCs w:val="18"/>
          <w:color w:val="auto"/>
        </w:rPr>
        <w:t>” shall mean the date that is three months from the effective date of the registration statement relating to the Transaction.</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means $1,200 per share of Preferred Stock.</w:t>
      </w:r>
    </w:p>
    <w:p>
      <w:pPr>
        <w:spacing w:after="0" w:line="117"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Stock purchase warrants (each,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delivered to the Investor at the Closing in accordance with the terms of this Subscription Agreement, which Warrants shall be exercisable immediately and have a term of exercise equal to six years, in the form of the Warrant Certificate set forth in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this Subscription Agreement.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Warrants.</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8" w:right="439" w:bottom="1440" w:gutter="0" w:footer="0" w:header="0"/>
        </w:sectPr>
      </w:pPr>
    </w:p>
    <w:bookmarkStart w:id="79" w:name="page80"/>
    <w:bookmarkEnd w:id="79"/>
    <w:p>
      <w:pPr>
        <w:ind w:left="10124"/>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7"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ectPr>
          <w:pgSz w:w="11900" w:h="16838" w:orient="portrait"/>
          <w:cols w:equalWidth="0" w:num="1">
            <w:col w:w="11024"/>
          </w:cols>
          <w:pgMar w:left="436" w:top="268" w:right="439" w:bottom="1440" w:gutter="0" w:footer="0" w:header="0"/>
        </w:sectPr>
      </w:pP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Name of Investor: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State/Country of Formation or Domicile:</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4"/>
          </w:cols>
          <w:pgMar w:left="436" w:top="268" w:right="439" w:bottom="1440" w:gutter="0" w:footer="0" w:header="0"/>
          <w:type w:val="continuous"/>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Name in which Securities are to be registered (if different):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 2025</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Investor’s EIN:</w:t>
      </w:r>
    </w:p>
    <w:p>
      <w:pPr>
        <w:sectPr>
          <w:pgSz w:w="11900" w:h="16838" w:orient="portrait"/>
          <w:cols w:equalWidth="0" w:num="1">
            <w:col w:w="11024"/>
          </w:cols>
          <w:pgMar w:left="436" w:top="268" w:right="439" w:bottom="1440" w:gutter="0" w:footer="0" w:header="0"/>
          <w:type w:val="continuous"/>
        </w:sect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Business Address-Street: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Mailing Address-Street (if different):</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City, State, Zip: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7"/>
          <w:szCs w:val="17"/>
          <w:color w:val="auto"/>
        </w:rPr>
        <w:t>City, State, Zip:</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7"/>
          <w:szCs w:val="17"/>
          <w:color w:val="auto"/>
        </w:rPr>
        <w:t>Attn:</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Telephone No.: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7"/>
          <w:szCs w:val="17"/>
          <w:color w:val="auto"/>
        </w:rPr>
        <w:t>Telephone No.:</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Facsimile No.: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7"/>
          <w:szCs w:val="17"/>
          <w:color w:val="auto"/>
        </w:rPr>
        <w:t>Facsimile No.:</w:t>
      </w:r>
    </w:p>
    <w:p>
      <w:pPr>
        <w:spacing w:after="0" w:line="200" w:lineRule="exact"/>
        <w:rPr>
          <w:sz w:val="20"/>
          <w:szCs w:val="20"/>
          <w:color w:val="auto"/>
        </w:rPr>
      </w:pPr>
    </w:p>
    <w:p>
      <w:pPr>
        <w:sectPr>
          <w:pgSz w:w="11900" w:h="16838" w:orient="portrait"/>
          <w:cols w:equalWidth="0" w:num="2">
            <w:col w:w="5024" w:space="720"/>
            <w:col w:w="5280"/>
          </w:cols>
          <w:pgMar w:left="436" w:top="268" w:right="439" w:bottom="1440" w:gutter="0" w:footer="0" w:header="0"/>
          <w:type w:val="continuous"/>
        </w:sectPr>
      </w:pP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Aggregate Subscription Amount:</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of Preferred Stock:</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Aggregate Stated Value:</w:t>
      </w:r>
    </w:p>
    <w:p>
      <w:pPr>
        <w:sectPr>
          <w:pgSz w:w="11900" w:h="16838" w:orient="portrait"/>
          <w:cols w:equalWidth="0" w:num="1">
            <w:col w:w="11024"/>
          </w:cols>
          <w:pgMar w:left="436" w:top="268" w:right="439" w:bottom="1440" w:gutter="0" w:footer="0" w:header="0"/>
          <w:type w:val="continuous"/>
        </w:sectPr>
      </w:pPr>
    </w:p>
    <w:p>
      <w:pPr>
        <w:spacing w:after="0" w:line="131" w:lineRule="exact"/>
        <w:rPr>
          <w:sz w:val="20"/>
          <w:szCs w:val="20"/>
          <w:color w:val="auto"/>
        </w:rPr>
      </w:pPr>
    </w:p>
    <w:p>
      <w:pPr>
        <w:ind w:left="4" w:right="300" w:hanging="4"/>
        <w:spacing w:after="0" w:line="266" w:lineRule="auto"/>
        <w:tabs>
          <w:tab w:leader="none" w:pos="211"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at any time Investor would beneficially own in excess of 9.9% of the Common Stock, Investor elects to be subject to the “Beneficial Ownership Limitation” set forth in Section 6 (d) of the Certificate of Designation and the “Maximum Percentage” set forth in Section 3.3.5 of the Warrant Agreement.</w:t>
      </w:r>
    </w:p>
    <w:p>
      <w:pPr>
        <w:spacing w:after="0" w:line="189"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SPAC in the Closing Notice.</w:t>
      </w:r>
    </w:p>
    <w:p>
      <w:pPr>
        <w:spacing w:after="0" w:line="200" w:lineRule="exact"/>
        <w:rPr>
          <w:sz w:val="20"/>
          <w:szCs w:val="20"/>
          <w:color w:val="auto"/>
        </w:rPr>
      </w:pPr>
    </w:p>
    <w:p>
      <w:pPr>
        <w:spacing w:after="0" w:line="38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[Signature Page to Subscription Agreement]</w:t>
      </w:r>
    </w:p>
    <w:p>
      <w:pPr>
        <w:sectPr>
          <w:pgSz w:w="11900" w:h="16838" w:orient="portrait"/>
          <w:cols w:equalWidth="0" w:num="1">
            <w:col w:w="11024"/>
          </w:cols>
          <w:pgMar w:left="436" w:top="268" w:right="4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SPAC has accepted this Subscription Agreement as of the date set forth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 [ </w:t>
      </w:r>
      <w:r>
        <w:rPr>
          <w:sz w:val="20"/>
          <w:szCs w:val="20"/>
          <w:color w:val="auto"/>
        </w:rPr>
        <w:tab/>
      </w:r>
      <w:r>
        <w:rPr>
          <w:rFonts w:ascii="Times New Roman" w:cs="Times New Roman" w:eastAsia="Times New Roman" w:hAnsi="Times New Roman"/>
          <w:sz w:val="17"/>
          <w:szCs w:val="17"/>
          <w:color w:val="auto"/>
        </w:rPr>
        <w:t>],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Subscription Agreement]</w:t>
      </w:r>
    </w:p>
    <w:p>
      <w:pPr>
        <w:sectPr>
          <w:pgSz w:w="11900" w:h="16838" w:orient="portrait"/>
          <w:cols w:equalWidth="0" w:num="1">
            <w:col w:w="11020"/>
          </w:cols>
          <w:pgMar w:left="440" w:top="268" w:right="4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Schedule must be completed by Investor and forms a part of the Subscription Agreement to which it is attached. Capitalized terms used and not otherwise defined in this Schedule have the meanings given to them in the Subscription Agreement. The Investor must check the applicable box in either Section A, Section B or Section C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QUALIFIED INSTITUTIONAL BUYER STATUS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31" w:lineRule="exact"/>
        <w:rPr>
          <w:sz w:val="20"/>
          <w:szCs w:val="20"/>
          <w:color w:val="auto"/>
        </w:rPr>
      </w:pPr>
    </w:p>
    <w:p>
      <w:pPr>
        <w:ind w:left="960" w:hanging="532"/>
        <w:spacing w:after="0"/>
        <w:tabs>
          <w:tab w:leader="none" w:pos="960" w:val="left"/>
        </w:tabs>
        <w:numPr>
          <w:ilvl w:val="1"/>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1"/>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subscribing for the Securities as a fiduciary or agent for one or more investor accounts, and each owner of such account is a QIB.</w:t>
      </w:r>
    </w:p>
    <w:p>
      <w:pPr>
        <w:spacing w:after="0" w:line="333"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INSTITUTIONAL ACCREDITED INVESTOR STATUS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90" w:lineRule="exact"/>
        <w:rPr>
          <w:sz w:val="20"/>
          <w:szCs w:val="20"/>
          <w:color w:val="auto"/>
        </w:rPr>
      </w:pPr>
    </w:p>
    <w:p>
      <w:pPr>
        <w:jc w:val="both"/>
        <w:ind w:left="960" w:right="460" w:hanging="532"/>
        <w:spacing w:after="0" w:line="236" w:lineRule="exact"/>
        <w:tabs>
          <w:tab w:leader="none" w:pos="960" w:val="left"/>
        </w:tabs>
        <w:numPr>
          <w:ilvl w:val="0"/>
          <w:numId w:val="9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We are an “accredited investor” (within the meaning of Rule 501(a) under the Securities Act or an entity in which all of the equity holders are accredited investors within the meaning of Rule 501(a) (1), (2), (3) or (7) under the Securities Act), and have marked and initialed the appropriate box on the following page indicating the provision under which we qualify as an “accredited investor.”</w:t>
      </w:r>
    </w:p>
    <w:p>
      <w:pPr>
        <w:spacing w:after="0" w:line="63" w:lineRule="exact"/>
        <w:rPr>
          <w:rFonts w:ascii="Times New Roman" w:cs="Times New Roman" w:eastAsia="Times New Roman" w:hAnsi="Times New Roman"/>
          <w:sz w:val="17"/>
          <w:szCs w:val="17"/>
          <w:color w:val="auto"/>
        </w:rPr>
      </w:pPr>
    </w:p>
    <w:p>
      <w:pPr>
        <w:ind w:left="960" w:hanging="532"/>
        <w:spacing w:after="0" w:line="207" w:lineRule="exact"/>
        <w:tabs>
          <w:tab w:leader="none" w:pos="960" w:val="left"/>
        </w:tabs>
        <w:numPr>
          <w:ilvl w:val="0"/>
          <w:numId w:val="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6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2" w:lineRule="exact"/>
        <w:rPr>
          <w:sz w:val="20"/>
          <w:szCs w:val="20"/>
          <w:color w:val="auto"/>
        </w:rPr>
      </w:pPr>
    </w:p>
    <w:p>
      <w:pPr>
        <w:ind w:left="440" w:right="180" w:hanging="4"/>
        <w:spacing w:after="0" w:line="282" w:lineRule="auto"/>
        <w:tabs>
          <w:tab w:leader="none" w:pos="647"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53" w:lineRule="exact"/>
        <w:rPr>
          <w:rFonts w:ascii="MS PGothic" w:cs="MS PGothic" w:eastAsia="MS PGothic" w:hAnsi="MS PGothic"/>
          <w:sz w:val="18"/>
          <w:szCs w:val="18"/>
          <w:color w:val="auto"/>
        </w:rPr>
      </w:pPr>
    </w:p>
    <w:p>
      <w:pPr>
        <w:ind w:left="440" w:right="20" w:hanging="4"/>
        <w:spacing w:after="0" w:line="282" w:lineRule="auto"/>
        <w:tabs>
          <w:tab w:leader="none" w:pos="647"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53" w:lineRule="exact"/>
        <w:rPr>
          <w:rFonts w:ascii="MS PGothic" w:cs="MS PGothic" w:eastAsia="MS PGothic" w:hAnsi="MS PGothic"/>
          <w:sz w:val="18"/>
          <w:szCs w:val="18"/>
          <w:color w:val="auto"/>
        </w:rPr>
      </w:pPr>
    </w:p>
    <w:p>
      <w:pPr>
        <w:ind w:left="440" w:right="280" w:hanging="4"/>
        <w:spacing w:after="0" w:line="282" w:lineRule="auto"/>
        <w:tabs>
          <w:tab w:leader="none" w:pos="647"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53" w:lineRule="exact"/>
        <w:rPr>
          <w:rFonts w:ascii="MS PGothic" w:cs="MS PGothic" w:eastAsia="MS PGothic" w:hAnsi="MS PGothic"/>
          <w:sz w:val="18"/>
          <w:szCs w:val="18"/>
          <w:color w:val="auto"/>
        </w:rPr>
      </w:pPr>
    </w:p>
    <w:p>
      <w:pPr>
        <w:ind w:left="440" w:right="200" w:hanging="4"/>
        <w:spacing w:after="0" w:line="282" w:lineRule="auto"/>
        <w:tabs>
          <w:tab w:leader="none" w:pos="647"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 or</w:t>
      </w:r>
    </w:p>
    <w:p>
      <w:pPr>
        <w:spacing w:after="0" w:line="53" w:lineRule="exact"/>
        <w:rPr>
          <w:rFonts w:ascii="MS PGothic" w:cs="MS PGothic" w:eastAsia="MS PGothic" w:hAnsi="MS PGothic"/>
          <w:sz w:val="18"/>
          <w:szCs w:val="18"/>
          <w:color w:val="auto"/>
        </w:rPr>
      </w:pPr>
    </w:p>
    <w:p>
      <w:pPr>
        <w:ind w:left="440" w:right="560" w:hanging="4"/>
        <w:spacing w:after="0" w:line="282" w:lineRule="auto"/>
        <w:tabs>
          <w:tab w:leader="none" w:pos="647"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w:t>
      </w:r>
    </w:p>
    <w:p>
      <w:pPr>
        <w:sectPr>
          <w:pgSz w:w="11900" w:h="16838" w:orient="portrait"/>
          <w:cols w:equalWidth="0" w:num="1">
            <w:col w:w="11000"/>
          </w:cols>
          <w:pgMar w:left="440" w:top="266" w:right="459" w:bottom="1440" w:gutter="0" w:footer="0" w:header="0"/>
        </w:sectPr>
      </w:pPr>
    </w:p>
    <w:bookmarkStart w:id="82" w:name="page83"/>
    <w:bookmarkEnd w:id="82"/>
    <w:p>
      <w:pPr>
        <w:ind w:left="444" w:right="7280" w:hanging="444"/>
        <w:spacing w:after="0" w:line="381" w:lineRule="auto"/>
        <w:tabs>
          <w:tab w:leader="none" w:pos="43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PURCHASER STATUS (Please check the applicable subparagraphs):</w:t>
      </w:r>
    </w:p>
    <w:p>
      <w:pPr>
        <w:ind w:left="964" w:right="100" w:hanging="532"/>
        <w:spacing w:after="0" w:line="226" w:lineRule="exact"/>
        <w:tabs>
          <w:tab w:leader="none" w:pos="964" w:val="left"/>
        </w:tabs>
        <w:numPr>
          <w:ilvl w:val="1"/>
          <w:numId w:val="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corporation, partnership, limited liability company, trust or other organization that: (i)was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(ii) owns not less than U.S.$5,000,000 in investments; and (iii)is owned directly or indirectly solely by or for two or more natural persons who are related as siblings or spouses (including former spouses), or direct lineal descendants by birth or adoption, spouses of such persons, the estates of such persons, or foundations, charitable organizations, or trusts established by or for the benefit of such persons.</w:t>
      </w:r>
    </w:p>
    <w:p>
      <w:pPr>
        <w:spacing w:after="0" w:line="66" w:lineRule="exact"/>
        <w:rPr>
          <w:rFonts w:ascii="Times New Roman" w:cs="Times New Roman" w:eastAsia="Times New Roman" w:hAnsi="Times New Roman"/>
          <w:sz w:val="18"/>
          <w:szCs w:val="18"/>
          <w:color w:val="auto"/>
        </w:rPr>
      </w:pPr>
    </w:p>
    <w:p>
      <w:pPr>
        <w:ind w:left="964" w:hanging="532"/>
        <w:spacing w:after="0" w:line="228" w:lineRule="exact"/>
        <w:tabs>
          <w:tab w:leader="none" w:pos="964" w:val="left"/>
        </w:tabs>
        <w:numPr>
          <w:ilvl w:val="1"/>
          <w:numId w:val="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trust: (i) that is not described in paragraph (3) of this Section C; (ii) that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(iii) with respect to which each of the settlors and other contributors of assets, trustees, and other authorized decision makers is a person described in paragraph (1), (2) or (3) of this Section C.</w:t>
      </w:r>
    </w:p>
    <w:p>
      <w:pPr>
        <w:spacing w:after="0" w:line="63" w:lineRule="exact"/>
        <w:rPr>
          <w:rFonts w:ascii="Times New Roman" w:cs="Times New Roman" w:eastAsia="Times New Roman" w:hAnsi="Times New Roman"/>
          <w:sz w:val="18"/>
          <w:szCs w:val="18"/>
          <w:color w:val="auto"/>
        </w:rPr>
      </w:pPr>
    </w:p>
    <w:p>
      <w:pPr>
        <w:ind w:left="964" w:hanging="532"/>
        <w:spacing w:after="0" w:line="228" w:lineRule="exact"/>
        <w:tabs>
          <w:tab w:leader="none" w:pos="964" w:val="left"/>
        </w:tabs>
        <w:numPr>
          <w:ilvl w:val="1"/>
          <w:numId w:val="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entity that: (i)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 has discretionary investment authority with regard to at least U.S. $25,000,000 of investments, whether for its own account or for the account of other persons that are themselves accurately described by one or more other paragraphs of this Section C.</w:t>
      </w:r>
    </w:p>
    <w:p>
      <w:pPr>
        <w:spacing w:after="0" w:line="1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4"/>
          </w:cols>
          <w:pgMar w:left="436" w:top="270" w:right="51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Certificate of Designation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9.99% SERIES A CUMULATIVE CONVERTIBLE PREFERRED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151(g) OF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Don Burnette, does hereby certify that:</w:t>
      </w:r>
    </w:p>
    <w:p>
      <w:pPr>
        <w:spacing w:after="0" w:line="113" w:lineRule="exact"/>
        <w:rPr>
          <w:sz w:val="20"/>
          <w:szCs w:val="20"/>
          <w:color w:val="auto"/>
        </w:rPr>
      </w:pPr>
    </w:p>
    <w:p>
      <w:pPr>
        <w:ind w:left="1160" w:hanging="173"/>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Chief Executive Officer of Kodiak AI,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20,000,000 shares of preferred stock, none of which have been issued.</w:t>
      </w:r>
    </w:p>
    <w:p>
      <w:pPr>
        <w:spacing w:after="0" w:line="22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adopted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certificate of incorporation of the Corporation provides for a class of its authorized stock known as preferred stock, consisting of 20,000,000 shares, $0.0001 par value per share, issuable from time to time in one or more series;</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rights, preferences, restrictions and other matters relating to a series of the preferred stock, which shall consist of up to [•] shares of the preferred stock which the Corporation has the authority to issue, as follows:</w:t>
      </w:r>
    </w:p>
    <w:p>
      <w:pPr>
        <w:spacing w:after="0" w:line="6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38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TERMS OF 9.99% SERIES A CUMULATIVE CONVERTIBLE PREFERRED STOCK</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but Unpaid Dividends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84" w:name="page85"/>
    <w:bookmarkEnd w:id="84"/>
    <w:p>
      <w:pPr>
        <w:ind w:right="200" w:firstLine="42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as of any date, with respect to each share of Preferred Stock as of the determination date, means the sum, subject to appropriate adjustment in the event of any stock dividend, stock split, combination or other similar recapitalization with respect to the Preferred Stock, of: (i) the Stated Value per share of Preferred Stock; plus (ii) all PIK Dividends paid on such share of Preferred Stock pursuant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Rate</w:t>
      </w:r>
      <w:r>
        <w:rPr>
          <w:rFonts w:ascii="Times New Roman" w:cs="Times New Roman" w:eastAsia="Times New Roman" w:hAnsi="Times New Roman"/>
          <w:sz w:val="18"/>
          <w:szCs w:val="18"/>
          <w:color w:val="auto"/>
        </w:rPr>
        <w:t>” with respect to a PIK Dividend, means 9.99% of the Accrued Value and with respect to a Cash Dividend, means 7.99% of the Accrued Value.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April 14, 2025, by and among the Corporation (or its predecessor), AAC II Merger Sub, Inc. and Kodiak Robotics, Inc.</w:t>
      </w:r>
    </w:p>
    <w:p>
      <w:pPr>
        <w:spacing w:after="0" w:line="47" w:lineRule="exact"/>
        <w:rPr>
          <w:sz w:val="20"/>
          <w:szCs w:val="20"/>
          <w:color w:val="auto"/>
        </w:rPr>
      </w:pPr>
    </w:p>
    <w:p>
      <w:pPr>
        <w:ind w:right="80"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Trading Day on which the transactions contemplated by the Business Combination are consummated.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$0.0001 per share, of the Corporation and stock of any other class of securities into which such securities may hereafter be reclassified or changed.</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66" w:right="479" w:bottom="1440" w:gutter="0" w:footer="0" w:header="0"/>
        </w:sectPr>
      </w:pPr>
    </w:p>
    <w:bookmarkStart w:id="85" w:name="page86"/>
    <w:bookmarkEnd w:id="85"/>
    <w:p>
      <w:pPr>
        <w:ind w:left="4" w:right="180" w:firstLine="423"/>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Corporation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5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Preferred Stock in accordance with the terms hereof.</w:t>
      </w:r>
    </w:p>
    <w:p>
      <w:pPr>
        <w:spacing w:after="0" w:line="47" w:lineRule="exact"/>
        <w:rPr>
          <w:sz w:val="20"/>
          <w:szCs w:val="20"/>
          <w:color w:val="auto"/>
        </w:rPr>
      </w:pPr>
    </w:p>
    <w:p>
      <w:pPr>
        <w:ind w:left="4" w:right="6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or which otherwise entitles the holder thereof to acquire, any shares of Common Stock.</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23"/>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xml:space="preserve">” means: (i) a merger or consolidation in which (a) the Corporation is a constituent party or (b) a subsidiary of the Corporation is a constituent party and the Corporation issues shares of its capital stock pursuant to such merger or consolidation;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Deemed Liquidation Event shall not include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 w:lineRule="exact"/>
        <w:rPr>
          <w:sz w:val="20"/>
          <w:szCs w:val="20"/>
          <w:color w:val="auto"/>
        </w:rPr>
      </w:pPr>
    </w:p>
    <w:p>
      <w:pPr>
        <w:ind w:left="4" w:right="40" w:hanging="4"/>
        <w:spacing w:after="0" w:line="253" w:lineRule="auto"/>
        <w:tabs>
          <w:tab w:leader="none" w:pos="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sale, in a single transaction or series of related transactions, by the Corporation or any subsidiary of the Corporation of all or substantially all the assets of the Corporation and its subsidiaries taken as a whole, or (b) the sale or disposition (whether by merger, consolidation or otherwise, and whether in a single transaction or a series of related transactions) of one (1) or more subsidiaries of the Corporation if substantially all of the assets of the Corporation and its subsidiaries taken as a whole are held by such subsidiary or subsidiaries, except where such sale is to a wholly owned subsidiary of the Corporation.</w:t>
      </w:r>
    </w:p>
    <w:p>
      <w:pPr>
        <w:spacing w:after="0" w:line="7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66" w:right="459" w:bottom="1440" w:gutter="0" w:footer="0" w:header="0"/>
        </w:sectPr>
      </w:pPr>
    </w:p>
    <w:bookmarkStart w:id="86" w:name="page87"/>
    <w:bookmarkEnd w:id="86"/>
    <w:p>
      <w:pPr>
        <w:ind w:left="444" w:firstLine="423"/>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Exempt Issuance</w:t>
      </w:r>
      <w:r>
        <w:rPr>
          <w:rFonts w:ascii="Times New Roman" w:cs="Times New Roman" w:eastAsia="Times New Roman" w:hAnsi="Times New Roman"/>
          <w:sz w:val="17"/>
          <w:szCs w:val="17"/>
          <w:color w:val="auto"/>
        </w:rPr>
        <w:t xml:space="preserve">” means the issuance of (a) any securities of the Corporation to employees, officers or directors, consultants, contractors, vendors or other agents of the Corporation pursuant to any stock or option plan duly adopted for such purpose, by a majority of the non-employee members of the Board of Directors or a majority of the members of a committee of non-employee directors established for such purpose for services rendered to the Corporation, (b) securities upon the exercise or exchange of or conversion of any securities issued pursuant to the Purchase Agreements or the Business Combination Agreement and/or other securities exercisable or exchangeable for or convertible into shares of Common Stock issued and outstanding on the Closing Date,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xml:space="preserve"> such securities have not been amended since the Closing Date to increase the number of such securities or to decrease the exercise price, exchange price or conversion price of such securities (other than in connection with stock splits or combinations and automatic adjustments to such terms pursuant to anti-dilution or similar provisions of such securities which are not more favorable to the holder thereof than the anti-dilution and similar provisions set forth herein) or to extend the term of such securities, (c) the Conversion Shares, (d) securities issued pursuant to any merger, acquisition or strategic transaction or partnership approved by a majority of the directors of the Corporation,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xml:space="preserve"> (i) such securities are issued as “restricted securities” (as defined in Rule 144) or are issued pursuant to an effective registration statement pursuant to the Securities Act and (ii) any such issuance shall only be to a Person (or to the equityholders of a Person) which is, itself or through its subsidiaries, an operating company or an owner of an asset in a business synergistic with the business of the Corporation and shall provide to the Corporation additional benefits in addition to the investment of funds, (e) any Earnout RSU or Earnout Stock (each as defined in the Business Combination Agreement) and (f) any securities issued by the corporation pursuant to any legal settlement or similar arrangement agreed or entered into by the Corporation,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in the aggregate, not more than [ •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shares of Common Stock are issued or deemed issued or issuable upon conversion, settlement, exercise or exchange of any such securities that are Options or Convertible Securities, </w:t>
      </w:r>
      <w:r>
        <w:rPr>
          <w:rFonts w:ascii="Times New Roman" w:cs="Times New Roman" w:eastAsia="Times New Roman" w:hAnsi="Times New Roman"/>
          <w:sz w:val="17"/>
          <w:szCs w:val="17"/>
          <w:i w:val="1"/>
          <w:iCs w:val="1"/>
          <w:u w:val="single" w:color="auto"/>
          <w:color w:val="auto"/>
        </w:rPr>
        <w:t>but</w:t>
      </w:r>
      <w:r>
        <w:rPr>
          <w:rFonts w:ascii="Times New Roman" w:cs="Times New Roman" w:eastAsia="Times New Roman" w:hAnsi="Times New Roman"/>
          <w:sz w:val="17"/>
          <w:szCs w:val="17"/>
          <w:color w:val="auto"/>
        </w:rPr>
        <w:t xml:space="preserve"> any such Exempt Issuance shall not include a transaction in which the Corporation is issuing securities</w:t>
      </w:r>
    </w:p>
    <w:p>
      <w:pPr>
        <w:spacing w:after="0" w:line="211" w:lineRule="exact"/>
        <w:rPr>
          <w:sz w:val="20"/>
          <w:szCs w:val="20"/>
          <w:color w:val="auto"/>
        </w:rPr>
      </w:pPr>
    </w:p>
    <w:p>
      <w:pPr>
        <w:ind w:left="444" w:right="480" w:hanging="4"/>
        <w:spacing w:after="0" w:line="260" w:lineRule="auto"/>
        <w:tabs>
          <w:tab w:leader="none" w:pos="6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for the purpose of raising capital, including an at-the-market offering, or (ii) to an entity whose primary business is investing in securities.</w:t>
      </w:r>
    </w:p>
    <w:p>
      <w:pPr>
        <w:spacing w:after="0" w:line="6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lesser of (i) $6.00 and (ii) the Conversion Price then in effect.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To be equal to $1,000,000 divided by the Redemption price.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87" w:name="page88"/>
    <w:bookmarkEnd w:id="8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xml:space="preserve">”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w:t>
      </w:r>
      <w:r>
        <w:rPr>
          <w:rFonts w:ascii="Times New Roman" w:cs="Times New Roman" w:eastAsia="Times New Roman" w:hAnsi="Times New Roman"/>
          <w:sz w:val="18"/>
          <w:szCs w:val="18"/>
          <w:b w:val="1"/>
          <w:bCs w:val="1"/>
          <w:u w:val="single" w:color="auto"/>
          <w:color w:val="auto"/>
        </w:rPr>
        <w:t>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100% and the 100 day volatility obtained from the HVT function on Bloomberg as of (A) the Trading Day immediately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Common Stock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in case any Option is issued in connection with the issue or sale of other securities of the Corporation, together comprising one integrated transaction, in no event shall the Option Value exceed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Corporation upon the exercise of such Options, or in the case of Options for Convertible Securities, the exercise of such Options for Convertible Securities and the conversion or exchange of such Convertible Securities) equal to (1) the number of shares of common stock underlying such Option divided by (2) the total number of shares of Common Stock issued or issuable in the integrated transaction (including the number of shares underlying such Option).</w:t>
      </w:r>
    </w:p>
    <w:p>
      <w:pPr>
        <w:spacing w:after="0" w:line="83"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4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47"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Dividend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66" w:right="47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Liquidation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Register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Agreements</w:t>
      </w:r>
      <w:r>
        <w:rPr>
          <w:rFonts w:ascii="Times New Roman" w:cs="Times New Roman" w:eastAsia="Times New Roman" w:hAnsi="Times New Roman"/>
          <w:sz w:val="18"/>
          <w:szCs w:val="18"/>
          <w:color w:val="auto"/>
        </w:rPr>
        <w:t>” means the several Securities Purchase Agreements, between the Corporation and certain original Holders.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w:t>
      </w:r>
      <w:r>
        <w:rPr>
          <w:rFonts w:ascii="Times New Roman" w:cs="Times New Roman" w:eastAsia="Times New Roman" w:hAnsi="Times New Roman"/>
          <w:sz w:val="18"/>
          <w:szCs w:val="18"/>
          <w:color w:val="auto"/>
        </w:rPr>
        <w:t xml:space="preserve">s” shall have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Semi-Annual Dividend Date</w:t>
      </w:r>
      <w:r>
        <w:rPr>
          <w:rFonts w:ascii="Times New Roman" w:cs="Times New Roman" w:eastAsia="Times New Roman" w:hAnsi="Times New Roman"/>
          <w:sz w:val="18"/>
          <w:szCs w:val="18"/>
          <w:color w:val="auto"/>
        </w:rPr>
        <w:t>” shall mean June 1 and December 1 of each year.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11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89" w:name="page90"/>
    <w:bookmarkEnd w:id="89"/>
    <w:p>
      <w:pPr>
        <w:ind w:right="320" w:firstLine="42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Corporation, and any successor transfer agent of the Corporation.</w:t>
      </w:r>
    </w:p>
    <w:p>
      <w:pPr>
        <w:spacing w:after="0" w:line="4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the 45 Trading Days preceding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but is listed or quoted on OTCQB or OTCQX, the volume weighted average price of the Common Stock for the 45 Trading Days preceding such date (or the nearest preceding date) on OTCQB or OTCQX as applicable, (c) if the Common Stock is not then listed or quoted for trading on a Trading Market, OTCQB or OTCQX and if prices for the Common Stock are then reported in The Pink Open Market (or a similar organization or agency succeeding to its functions of reporting prices), the average of the highest closing bid price and the lowest closing ask price of the Common Stock for the 45 Trading Days preceding such date, or (d) in all other cases, the fair market value of a share of Common Stock as determined by an independent appraiser selected in good faith by the Holders of a majority in interest of the Preferred Stock then outstanding and reasonably acceptable to the Corporation, the fees and expenses of which shall be paid by the Corporation.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firstLine="419"/>
        <w:spacing w:after="0" w:line="262" w:lineRule="auto"/>
        <w:tabs>
          <w:tab w:leader="none" w:pos="6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of preferred stock shall be designated as its “9.99% Series A Cumulative Convertible Preferred Stock”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the number of shares so designated shall be up to [•] (which shall not be subject to increase without the written consent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50% of the then outstanding Preferred Stock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Each share of Preferred Stock shall have a par value of $0.0001 per share and a stated value equal to $1,200.00 (the “</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register, or cause its Transfer Agent to register, shares of the Preferred Stock upon records to be maintained by the Corporation or its Transfer Agent for that purpose (the “</w:t>
      </w:r>
      <w:r>
        <w:rPr>
          <w:rFonts w:ascii="Times New Roman" w:cs="Times New Roman" w:eastAsia="Times New Roman" w:hAnsi="Times New Roman"/>
          <w:sz w:val="18"/>
          <w:szCs w:val="18"/>
          <w:b w:val="1"/>
          <w:bCs w:val="1"/>
          <w:color w:val="auto"/>
        </w:rPr>
        <w:t>Preferred Stock Register</w:t>
      </w:r>
      <w:r>
        <w:rPr>
          <w:rFonts w:ascii="Times New Roman" w:cs="Times New Roman" w:eastAsia="Times New Roman" w:hAnsi="Times New Roman"/>
          <w:sz w:val="18"/>
          <w:szCs w:val="18"/>
          <w:color w:val="auto"/>
        </w:rPr>
        <w:t>”), in the name of the Holders thereof from time to time. The Corporation may deem and treat the registered Holder of shares of Preferred Stock as the absolute owner thereof for the purpose of any conversion thereof and for all other purposes. The Corporation shall register, or cause its Transfer Agent to register, the transfer of any shares of Preferred Stock in the Preferred Stock Register, upon surrender of any certificates evidencing such shares to be transferred, duly endorsed by the Holder thereof, to the Corporation at its address specified in the Corporation’s most recently filed Current Report on Form 8-K and after such Holder shall have provided to the Corporation such documentation and legal opinions, if any, as may be reasonably requested by the Corporation (including any documentation required by the Transfer Agent with respect to such transfer). Upon the registration of such transfer, a new certificate (to the extent such shares are certificated) evidencing the shares of Preferred Stock so transferred shall be issued to the transferee and a new certificate evidencing the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90" w:name="page91"/>
    <w:bookmarkEnd w:id="90"/>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portion of the shares not so transferred, if any, shall be issued to the transferring Holder, in each case, within three Business Days. The Board of Directors may provide by resolution or resolutions that some or all of the Preferred Stock shall be uncertificated shares. The Corporation shall not be required to register, or cause its Transfer Agent to register, or record any transfer of any shares of the Preferred Stock that would violate, conflict with, or fail to be in compliance with federal or state securities laws.</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5" w:lineRule="auto"/>
        <w:tabs>
          <w:tab w:leader="none" w:pos="67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cumulative dividends shall accrue on the Accrued Value of each share of Preferred Stock at the Annual Rate. Dividends on each share of Preferred Stock shall be cumulative and shall accrue daily, but shall be paid in cash or in kind, at the election of the Corporation, on a semi-annual basis on each Semi-Annual Dividend Date (the accrued but unpaid or uncompounded dividend owing on each Semi-Annual Dividend Date, the “</w:t>
      </w:r>
      <w:r>
        <w:rPr>
          <w:rFonts w:ascii="Times New Roman" w:cs="Times New Roman" w:eastAsia="Times New Roman" w:hAnsi="Times New Roman"/>
          <w:sz w:val="18"/>
          <w:szCs w:val="18"/>
          <w:b w:val="1"/>
          <w:bCs w:val="1"/>
          <w:color w:val="auto"/>
        </w:rPr>
        <w:t>Accrued Dividend</w:t>
      </w:r>
      <w:r>
        <w:rPr>
          <w:rFonts w:ascii="Times New Roman" w:cs="Times New Roman" w:eastAsia="Times New Roman" w:hAnsi="Times New Roman"/>
          <w:sz w:val="18"/>
          <w:szCs w:val="18"/>
          <w:color w:val="auto"/>
        </w:rPr>
        <w:t>”) whether or not earned or declared, and whether or not there are earnings or profits, surplus, or other funds or assets of the Corporation legally available for the payment of dividends. At the election of the Corporation, on each Semi Annual Dividend Date, the Accrued Dividend shall be paid (i) in cash (a “</w:t>
      </w:r>
      <w:r>
        <w:rPr>
          <w:rFonts w:ascii="Times New Roman" w:cs="Times New Roman" w:eastAsia="Times New Roman" w:hAnsi="Times New Roman"/>
          <w:sz w:val="18"/>
          <w:szCs w:val="18"/>
          <w:b w:val="1"/>
          <w:bCs w:val="1"/>
          <w:color w:val="auto"/>
        </w:rPr>
        <w:t>Cash Dividend</w:t>
      </w:r>
      <w:r>
        <w:rPr>
          <w:rFonts w:ascii="Times New Roman" w:cs="Times New Roman" w:eastAsia="Times New Roman" w:hAnsi="Times New Roman"/>
          <w:sz w:val="18"/>
          <w:szCs w:val="18"/>
          <w:color w:val="auto"/>
        </w:rPr>
        <w:t>”), or (ii) in kind by increasing the Accrued Value of such share (a “</w:t>
      </w:r>
      <w:r>
        <w:rPr>
          <w:rFonts w:ascii="Times New Roman" w:cs="Times New Roman" w:eastAsia="Times New Roman" w:hAnsi="Times New Roman"/>
          <w:sz w:val="18"/>
          <w:szCs w:val="18"/>
          <w:b w:val="1"/>
          <w:bCs w:val="1"/>
          <w:color w:val="auto"/>
        </w:rPr>
        <w:t>PIK Dividend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declare, pay or set aside any dividends on shares of any other class or series of capital stock of the Corporation ranking junior to the Preferred Stock (other than dividends on Junior Securities payable in Junior Securities) unless (in addition to the obtaining of any consents required in this Certificate of Designation or the Corporation’s certificate of incorporation) the Holders of the Preferred Stock then outstanding shall first receive, or simultaneously receive, a dividend on each outstanding share of Preferred Stock in an amount at least equal to the sum of (i) the amount of the aggregate Accrued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Cumulative Convertible Preferred Stock, in each case calculated on the record date for determination of holders entitled to receive such dividend or (B) in the case of a dividend on any class or series of capital stock of the Corporation ranking junior to the Preferred Stock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w:t>
      </w:r>
    </w:p>
    <w:p>
      <w:pPr>
        <w:spacing w:after="0" w:line="9" w:lineRule="exact"/>
        <w:rPr>
          <w:rFonts w:ascii="Times New Roman" w:cs="Times New Roman" w:eastAsia="Times New Roman" w:hAnsi="Times New Roman"/>
          <w:sz w:val="17"/>
          <w:szCs w:val="17"/>
          <w:color w:val="auto"/>
        </w:rPr>
      </w:pPr>
    </w:p>
    <w:p>
      <w:pPr>
        <w:ind w:left="4" w:right="140" w:hanging="4"/>
        <w:spacing w:after="0" w:line="253" w:lineRule="auto"/>
        <w:tabs>
          <w:tab w:leader="none" w:pos="2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multiplying such fraction by an amount equal to the Accrued Value; provided that if the Corporation declares, pays or sets aside, on the same date, a dividend on shares of more than one class or series of capital stock of the Corporation that is junior to the Preferred Stock, the dividend payable to the Holders of Preferred Stock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4"/>
          </w:cols>
          <w:pgMar w:left="876" w:top="270" w:right="479" w:bottom="1440" w:gutter="0" w:footer="0" w:header="0"/>
        </w:sectPr>
      </w:pPr>
    </w:p>
    <w:bookmarkStart w:id="91" w:name="page92"/>
    <w:bookmarkEnd w:id="91"/>
    <w:p>
      <w:pPr>
        <w:ind w:right="180" w:firstLine="419"/>
        <w:spacing w:after="0" w:line="266" w:lineRule="auto"/>
        <w:tabs>
          <w:tab w:leader="none" w:pos="6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Holders shall be entitled to receive, and the Corporation shall pay, dividends on shares of Preferred Stock (other than Accrued Dividends), on an as-converted basis, equal to cash dividends actually paid on shares of the Common Stock when, as and if such dividends are paid on shares of the Common Stock.</w:t>
      </w:r>
    </w:p>
    <w:p>
      <w:pPr>
        <w:spacing w:after="0" w:line="67"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to the extent that the Holder’s right to participate in any dividend would result in the Holder exceeding the Beneficial Ownership Limitation, then the Holder shall not be entitled to participate in such dividend to such extent (or in the beneficial ownership of any shares of Common Stock as a result of such Distribution to such extent) and the portion of such dividend shall be held in abeyance for the benefit of the Holder until such time, if ever, such grant, issuance or sale, as its right thereto would not result in the Holder exceeding the Beneficial Ownership Limitation.</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66" w:lineRule="auto"/>
        <w:tabs>
          <w:tab w:leader="none" w:pos="6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shall be entitled to notice of any meeting of stockholders of the Corporation and, except as otherwise required by law or as may be provided herein, shall vote together with the holders of Common Stock as a single class upon any matter submitted to the stockholders for a vote.</w:t>
      </w:r>
    </w:p>
    <w:p>
      <w:pPr>
        <w:spacing w:after="0" w:line="67"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matter presented to the stockholders of the Corporation for their action or consideration at any meeting of the stockholders of the Corporation (or by written consent in lieu of a meeting), a Holder, together with its Attribution Parties, shall be entitled to the number of votes equal to the number of whole shares of Common Stock into which the shares of Preferred Stock held by such Holder, together with its Attribution Parties, as are convertible on the record date for determining stockholders entitled to vote on such matter (as adjusted from time to time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subject to the Beneficial Ownership Limitation), but without regard as to whether sufficient shares of Common Stock are available out of the Corporation’s authorized by unissued stock, for the purpose of effecting the conversion of the Preferred Stock.</w:t>
      </w:r>
    </w:p>
    <w:p>
      <w:pPr>
        <w:spacing w:after="0" w:line="79" w:lineRule="exact"/>
        <w:rPr>
          <w:rFonts w:ascii="Times New Roman" w:cs="Times New Roman" w:eastAsia="Times New Roman" w:hAnsi="Times New Roman"/>
          <w:sz w:val="18"/>
          <w:szCs w:val="18"/>
          <w:color w:val="auto"/>
        </w:rPr>
      </w:pPr>
    </w:p>
    <w:p>
      <w:pPr>
        <w:ind w:right="600" w:firstLine="419"/>
        <w:spacing w:after="0" w:line="282" w:lineRule="auto"/>
        <w:tabs>
          <w:tab w:leader="none" w:pos="6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without the affirmative vote or action by written consent of the Holders of a majority of the issued and outstanding shares of the Preferred Stock (the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wind-up the affairs of the Corporation;</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0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Corporation’s certificate of incorporation or bylaws, or this Certificate of Designation in a manner that materially and adversely affects the powers, preferences or rights given to the Preferred Stock;</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5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equity security, authorize the creation of any equity security, classify any equity security, reclassify any equity security, or issue any other security convertible into or exercisable for any equity security, unless such security ranks junior to the Preferred Stock with respect to its rights, preferences and privileges or increase the number of authorized shares of Preferred Stock; or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92" w:name="page93"/>
    <w:bookmarkEnd w:id="92"/>
    <w:p>
      <w:pPr>
        <w:ind w:left="540" w:right="100" w:firstLine="408"/>
        <w:spacing w:after="0" w:line="261"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purchase or redeem or pay any cash dividend on any capital stock of the Corporation ranking junior to the Preferred Stock prior to payment of such cash dividend on the Preferred Stock or purchase or redeem any capital stock of the Corporation ranking junior to the Preferred Stock, other than capital stock repurchased at cost from former employees and consultants in connection with the cessation of their service or pursuant to the terms of any equity incentive plan of the Corporation;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61" w:lineRule="auto"/>
        <w:tabs>
          <w:tab w:leader="none" w:pos="6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shall rank senior to all of the Common Stock and any other class or series of capital stock of the Corporation currently existing or hereafter authorized, classified or reclassified by the Corporation (collectively, “</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in each case, as to rights to receive dividends or to participate in distributions of assets or payments upon liquidation, dissolution or winding up of the Corporation, whether voluntarily or involuntarily.</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Preferential Payments to Holders of Preferred Stock; Distribution of Remaining Assets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the Holders of shares of Preferred Stock then outstanding shall be entitled to be paid out of the consideration payable to stockholders in such Deemed Liquidation Event or out of the Available Proceeds (as defined below), as applicable, before any payment shall be made to the holders of Common Stock or other Junior Securities by reason of their ownership thereof, an amount per share equal to the greater of: (i) (x) 100% of the Accrued Value; plus (y) the accrued but unpaid or uncompounded portion of the Accrued Dividend since the most recent Semi-Annual Dividend Date (determined on the basis of the Annual Rate for Cash Dividends since the most recent Semi-Annual Dividend Date) (such accrued but unpaid dividend, the “</w:t>
      </w:r>
      <w:r>
        <w:rPr>
          <w:rFonts w:ascii="Times New Roman" w:cs="Times New Roman" w:eastAsia="Times New Roman" w:hAnsi="Times New Roman"/>
          <w:sz w:val="18"/>
          <w:szCs w:val="18"/>
          <w:b w:val="1"/>
          <w:bCs w:val="1"/>
          <w:color w:val="auto"/>
        </w:rPr>
        <w:t>Accrued but Unpaid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on each share of Preferred Stock or (ii) such amount per share as would have been payable had all shares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converted into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immediately prior to such liquidation, dissolution, winding up or Deemed Liquidation Event based on the then effective rate of conversion and without giving effect to the Beneficial Ownership Limitation or any other limitations on conversion set forth herein.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93" w:name="page94"/>
    <w:bookmarkEnd w:id="93"/>
    <w:p>
      <w:pPr>
        <w:jc w:val="both"/>
        <w:ind w:left="121"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68" w:lineRule="exact"/>
        <w:rPr>
          <w:sz w:val="20"/>
          <w:szCs w:val="20"/>
          <w:color w:val="auto"/>
        </w:rPr>
      </w:pPr>
    </w:p>
    <w:p>
      <w:pPr>
        <w:ind w:left="121" w:right="20" w:firstLine="408"/>
        <w:spacing w:after="0" w:line="255" w:lineRule="auto"/>
        <w:tabs>
          <w:tab w:leader="none" w:pos="7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voluntary or involuntary liquidation, dissolution or winding up of the Corporation, after the payment in full of all amounts required to be paid to the holders of shares of Preferred Stock pursuant to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 xml:space="preserve">,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 xml:space="preserve"> or the remaining Available Proceeds, as the case may be, shall be distributed among the holders of the shares of Common Stock, pro rata based on the number of shares held by each such holder. The aggregate amount which a holder of a share of Preferred Stock is entitled to receive under </w:t>
      </w:r>
      <w:r>
        <w:rPr>
          <w:rFonts w:ascii="Times New Roman" w:cs="Times New Roman" w:eastAsia="Times New Roman" w:hAnsi="Times New Roman"/>
          <w:sz w:val="18"/>
          <w:szCs w:val="18"/>
          <w:u w:val="single" w:color="auto"/>
          <w:color w:val="auto"/>
        </w:rPr>
        <w:t>Sections 5(b)(i)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5(b)(ii)</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Preferred Stock Liquidation Amount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39" w:lineRule="auto"/>
        <w:tabs>
          <w:tab w:leader="none" w:pos="73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Deemed Liquidation Event, if the Corporation does not effect a dissolution of the Corporation under the Delaware General Corporation Law within 90 days after such Deemed Liquidation Event, then (i) the Corporation shall send a written notice to each Holder of Preferred Stock no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Deemed Liquidation Event advising such Holders of their right (and the requirements to be met to secure such right) pursuant to the terms of the following clause to require the redemption of such shares of Preferred Stock, and (ii) if the Required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or any other expenses associated with the Deemed Liquidation Event or the dissolution of the Corporation, in each case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on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such Deemed Liquidation Event, to redeem all outstanding shares of Preferred Stock at a price per share equal to the Preferred Stock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that would otherwise be payable in respect of the shares to be redeemed if the Available Proceeds were sufficient to redeem all such shares, and shall redeem the remaining shares as soon as it may lawfully do so under Delaware law governing distributions to stockholders. The provisions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apply, with such necessary changes in</w:t>
      </w:r>
    </w:p>
    <w:p>
      <w:pPr>
        <w:spacing w:after="0" w:line="133"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21"/>
          </w:cols>
          <w:pgMar w:left="1299" w:top="270" w:right="479" w:bottom="1440" w:gutter="0" w:footer="0" w:header="0"/>
        </w:sectPr>
      </w:pPr>
    </w:p>
    <w:bookmarkStart w:id="94" w:name="page95"/>
    <w:bookmarkEnd w:id="94"/>
    <w:p>
      <w:pPr>
        <w:jc w:val="both"/>
        <w:ind w:left="54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details thereof as are necessitated by the context, to the redemption of the Preferred Stock pursuant to this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 xml:space="preserve">. Prior to the distribution or redemption provided for in this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w:t>
      </w:r>
    </w:p>
    <w:p>
      <w:pPr>
        <w:spacing w:after="0" w:line="68" w:lineRule="exact"/>
        <w:rPr>
          <w:sz w:val="20"/>
          <w:szCs w:val="20"/>
          <w:color w:val="auto"/>
        </w:rPr>
      </w:pPr>
    </w:p>
    <w:p>
      <w:pPr>
        <w:ind w:left="1220" w:hanging="272"/>
        <w:spacing w:after="0"/>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Deemed Liquidation Event, if Available Proceeds are in a form of property other than in cash, the value of such</w:t>
      </w:r>
    </w:p>
    <w:p>
      <w:pPr>
        <w:spacing w:after="0" w:line="27" w:lineRule="exact"/>
        <w:rPr>
          <w:rFonts w:ascii="Times New Roman" w:cs="Times New Roman" w:eastAsia="Times New Roman" w:hAnsi="Times New Roman"/>
          <w:sz w:val="18"/>
          <w:szCs w:val="18"/>
          <w:color w:val="auto"/>
        </w:rPr>
      </w:pPr>
    </w:p>
    <w:p>
      <w:pPr>
        <w:ind w:left="5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shall be deemed to be the fair market value of such property. The determination of fair market value of such property shall be made in good faith by the Board of Directors of the Corporation, provided that to the extent such property consists of securities, the fair market value of such securities shall be determined as follows:</w:t>
      </w:r>
    </w:p>
    <w:p>
      <w:pPr>
        <w:spacing w:after="0" w:line="78"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 xml:space="preserve">For securities not subject to investment letters or other similar restrictions on free marketability covered by </w:t>
      </w:r>
      <w:r>
        <w:rPr>
          <w:rFonts w:ascii="Times New Roman" w:cs="Times New Roman" w:eastAsia="Times New Roman" w:hAnsi="Times New Roman"/>
          <w:sz w:val="18"/>
          <w:szCs w:val="18"/>
          <w:u w:val="single" w:color="auto"/>
          <w:color w:val="auto"/>
        </w:rPr>
        <w:t>Section 5(c)(iii)</w:t>
      </w:r>
      <w:r>
        <w:rPr>
          <w:rFonts w:ascii="Times New Roman" w:cs="Times New Roman" w:eastAsia="Times New Roman" w:hAnsi="Times New Roman"/>
          <w:sz w:val="18"/>
          <w:szCs w:val="18"/>
          <w:color w:val="auto"/>
        </w:rPr>
        <w:t xml:space="preserve"> below, the value shall be the VWAP of such securities.</w:t>
      </w:r>
    </w:p>
    <w:p>
      <w:pPr>
        <w:spacing w:after="0" w:line="54" w:lineRule="exact"/>
        <w:rPr>
          <w:sz w:val="20"/>
          <w:szCs w:val="20"/>
          <w:color w:val="auto"/>
        </w:rPr>
      </w:pPr>
    </w:p>
    <w:p>
      <w:pPr>
        <w:ind w:left="540" w:right="160" w:firstLine="408"/>
        <w:spacing w:after="0" w:line="261" w:lineRule="auto"/>
        <w:tabs>
          <w:tab w:leader="none" w:pos="12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of the Corporation) from the market value as determined pursuant to </w:t>
      </w:r>
      <w:r>
        <w:rPr>
          <w:rFonts w:ascii="Times New Roman" w:cs="Times New Roman" w:eastAsia="Times New Roman" w:hAnsi="Times New Roman"/>
          <w:sz w:val="18"/>
          <w:szCs w:val="18"/>
          <w:u w:val="single" w:color="auto"/>
          <w:color w:val="auto"/>
        </w:rPr>
        <w:t>Section 5(c)(ii)</w:t>
      </w:r>
      <w:r>
        <w:rPr>
          <w:rFonts w:ascii="Times New Roman" w:cs="Times New Roman" w:eastAsia="Times New Roman" w:hAnsi="Times New Roman"/>
          <w:sz w:val="18"/>
          <w:szCs w:val="18"/>
          <w:color w:val="auto"/>
        </w:rPr>
        <w:t xml:space="preserve"> above so as to reflect the approximate fair market value thereof.</w:t>
      </w:r>
    </w:p>
    <w:p>
      <w:pPr>
        <w:spacing w:after="0" w:line="71" w:lineRule="exact"/>
        <w:rPr>
          <w:rFonts w:ascii="Times New Roman" w:cs="Times New Roman" w:eastAsia="Times New Roman" w:hAnsi="Times New Roman"/>
          <w:sz w:val="18"/>
          <w:szCs w:val="18"/>
          <w:color w:val="auto"/>
        </w:rPr>
      </w:pPr>
    </w:p>
    <w:p>
      <w:pPr>
        <w:ind w:left="540" w:right="60" w:firstLine="408"/>
        <w:spacing w:after="0" w:line="254"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Deemed Liquidation Event,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(a) the portion of such consideration that is not 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in accordance with the foregoing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Section 5(c)(iv)</w:t>
      </w:r>
      <w:r>
        <w:rPr>
          <w:rFonts w:ascii="Times New Roman" w:cs="Times New Roman" w:eastAsia="Times New Roman" w:hAnsi="Times New Roman"/>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1" w:lineRule="auto"/>
        <w:tabs>
          <w:tab w:leader="none" w:pos="6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Each share of Preferred Stock shall be convertible, at any time and from time to time from and after the Original Issue Date at the option of the Holder thereof, into that number of whole shares of Common Stock (subject to the limitations set forth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determined by dividing the Accrued Value of such share of Preferred Stock, plus any Accrued but Unpaid Dividends on such share of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Preferred Stock, by the Conversion Price. Holders shall effect conversions by providing the Corporation with the form of conversion notice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unless the Corporation directs Holders that the Notice of Conversion shall be delivered to the Corporation’s transfer agent.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attachment or by a nationally recognized overnight courier service such Notice of Conversion to the Corporation (such date,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If no Conversion Date is specified in a Notice of Conversion, the Conversion Date shall be the date that such Notice of Conversion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 and all rights (other than the right to receive the Conversion Shares) with respect to such shares will terminate. The Corporation’s stock ledger and transfer book shall serve as the exclusive record of outstanding shares of Preferred Stock.</w:t>
      </w:r>
    </w:p>
    <w:p>
      <w:pPr>
        <w:spacing w:after="0" w:line="84" w:lineRule="exact"/>
        <w:rPr>
          <w:sz w:val="20"/>
          <w:szCs w:val="20"/>
          <w:color w:val="auto"/>
        </w:rPr>
      </w:pPr>
    </w:p>
    <w:p>
      <w:pPr>
        <w:ind w:left="680" w:hanging="26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initial conversion price is $12.00, subject to adjustment herein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p>
    <w:p>
      <w:pPr>
        <w:spacing w:after="0" w:line="117" w:lineRule="exact"/>
        <w:rPr>
          <w:rFonts w:ascii="Times New Roman" w:cs="Times New Roman" w:eastAsia="Times New Roman" w:hAnsi="Times New Roman"/>
          <w:sz w:val="18"/>
          <w:szCs w:val="18"/>
          <w:color w:val="auto"/>
        </w:rPr>
      </w:pPr>
    </w:p>
    <w:p>
      <w:pPr>
        <w:ind w:left="540" w:firstLine="408"/>
        <w:spacing w:after="0" w:line="253" w:lineRule="auto"/>
        <w:tabs>
          <w:tab w:leader="none" w:pos="11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Conversion Shares Upon Conversion</w:t>
      </w:r>
      <w:r>
        <w:rPr>
          <w:rFonts w:ascii="Times New Roman" w:cs="Times New Roman" w:eastAsia="Times New Roman" w:hAnsi="Times New Roman"/>
          <w:sz w:val="18"/>
          <w:szCs w:val="18"/>
          <w:color w:val="auto"/>
        </w:rPr>
        <w:t>. Not later than the number of Trading Days comprising the Standard Settlement Period (as defined below) after each Conversion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the Corporation shall deliver, or cause to be delivered, to the converting Holder the number of Conversion Shares being acquired upon the conversion of the Preferred Stock, which, on or after the one year anniversary of the Original Issue Date, will be free of restrictive legends and trading restrictions, provided the converting Holder delivers to the Corporation and its counsel all requested customary documentation and certifications. To the extent the Conversion Shares are issued free of restrictive legends and trading restrictions, the Corporation shall deliver the Conversion Shares required to be delivered by the Corporation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electronically through the Depository Trust Company if the Corporation is then a participant or another established clearing corporation performing similar functions. As used herein, “</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Corporation’s primary Trading Market with respect to the Common Stock as in effect on the date of delivery of the Notice of Conversion.</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96" w:name="page97"/>
    <w:bookmarkEnd w:id="96"/>
    <w:p>
      <w:pPr>
        <w:ind w:left="-20" w:right="80" w:firstLine="408"/>
        <w:spacing w:after="0" w:line="258"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Deliver Conversion Shares</w:t>
      </w:r>
      <w:r>
        <w:rPr>
          <w:rFonts w:ascii="Times New Roman" w:cs="Times New Roman" w:eastAsia="Times New Roman" w:hAnsi="Times New Roman"/>
          <w:sz w:val="18"/>
          <w:szCs w:val="18"/>
          <w:color w:val="auto"/>
        </w:rPr>
        <w:t>. If, in the case of any Notice of Conversion, such Conversion Shares are not delivered to or as reasonably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75" w:lineRule="exact"/>
        <w:rPr>
          <w:rFonts w:ascii="Times New Roman" w:cs="Times New Roman" w:eastAsia="Times New Roman" w:hAnsi="Times New Roman"/>
          <w:sz w:val="18"/>
          <w:szCs w:val="18"/>
          <w:color w:val="auto"/>
        </w:rPr>
      </w:pPr>
    </w:p>
    <w:p>
      <w:pPr>
        <w:ind w:left="-20" w:firstLine="408"/>
        <w:spacing w:after="0" w:line="241" w:lineRule="auto"/>
        <w:tabs>
          <w:tab w:leader="none" w:pos="6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 Partial Liquidated Damages</w:t>
      </w:r>
      <w:r>
        <w:rPr>
          <w:rFonts w:ascii="Times New Roman" w:cs="Times New Roman" w:eastAsia="Times New Roman" w:hAnsi="Times New Roman"/>
          <w:sz w:val="18"/>
          <w:szCs w:val="18"/>
          <w:color w:val="auto"/>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delivery shall not operate as a waiver by the Corporation of any such action that the Corporation may have against such Holder. In the event a Holder shall elect to convert any or all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Accrued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for any reason unrelated to the actions of the Holder or its Affiliates, such Conversion Shares pursuant to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xml:space="preserve">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Share Delivery Date applicable to such conversion, the Corporation shall pay to such Holder, in cash, as liquidated damages and not as a penalty, for each $5,000 of Accrued Value of Preferred Stock being converted, $25 per Trading Day (increasing to $50 per Trading Day on the third Trading Day and increasing to $100 per Trading Day on the sixth Trading Day after such damages begin to accrue) for each Trading Day after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Share Delivery Date until such Conversion Shares are delivered or</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20"/>
          </w:cols>
          <w:pgMar w:left="1440" w:top="270" w:right="439" w:bottom="1440" w:gutter="0" w:footer="0" w:header="0"/>
        </w:sectPr>
      </w:pPr>
    </w:p>
    <w:bookmarkStart w:id="97" w:name="page98"/>
    <w:bookmarkEnd w:id="97"/>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rescinds such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56" w:lineRule="exact"/>
        <w:rPr>
          <w:sz w:val="20"/>
          <w:szCs w:val="20"/>
          <w:color w:val="auto"/>
        </w:rPr>
      </w:pPr>
    </w:p>
    <w:p>
      <w:pPr>
        <w:ind w:firstLine="408"/>
        <w:spacing w:after="0" w:line="251" w:lineRule="auto"/>
        <w:tabs>
          <w:tab w:leader="none" w:pos="7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Conversion Shares Upon Conversion</w:t>
      </w:r>
      <w:r>
        <w:rPr>
          <w:rFonts w:ascii="Times New Roman" w:cs="Times New Roman" w:eastAsia="Times New Roman" w:hAnsi="Times New Roman"/>
          <w:sz w:val="18"/>
          <w:szCs w:val="18"/>
          <w:color w:val="auto"/>
        </w:rPr>
        <w:t xml:space="preserve">. In addition to any other rights available to the Holder, if the Corporation fails for any reason unrelated to the actions of the Holder or its Affiliates to deliver to a Holder the applicable Conversion Shares by the Share Delivery Date pursuant to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(excluding any brokerage commissions) and (B) at the option of such Holder, either reissue (if surrendered) the shares of Preferred Stock equal to the number of shares of Preferred Stock submitted for conversion for which the conversion was not honored (in which case, such conversion shall be deemed rescinded)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For example, if a Holder purchases shares of Common Stock having a total purchase price of $11,000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evidence of the amount of such loss. If a Holder purchases shares of Common Stock having a total purchase price of $9,000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preceding sentence, the Corporation shall not be required to pay Holder any amount. For the avoidance of doubt, in the event of a Buy-In, the Holder shall use commercially reasonable efforts to purchase shares at the lowest available price, paying the lowest reasonably available brokerage</w:t>
      </w:r>
    </w:p>
    <w:p>
      <w:pPr>
        <w:spacing w:after="0" w:line="1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20"/>
          </w:cols>
          <w:pgMar w:left="1420" w:top="270" w:right="459" w:bottom="1440" w:gutter="0" w:footer="0" w:header="0"/>
        </w:sectPr>
      </w:pPr>
    </w:p>
    <w:bookmarkStart w:id="98" w:name="page99"/>
    <w:bookmarkEnd w:id="98"/>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The Holder shall provide the Corporation written notice indicating the amounts payable to such Holder in respect of the Buy-In and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Conversion Shares upon conversion of the shares of Preferred Stock as required pursuant to the terms hereof.</w:t>
      </w:r>
    </w:p>
    <w:p>
      <w:pPr>
        <w:spacing w:after="0" w:line="75" w:lineRule="exact"/>
        <w:rPr>
          <w:sz w:val="20"/>
          <w:szCs w:val="20"/>
          <w:color w:val="auto"/>
        </w:rPr>
      </w:pPr>
    </w:p>
    <w:p>
      <w:pPr>
        <w:ind w:right="60" w:firstLine="408"/>
        <w:spacing w:after="0" w:line="254"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xml:space="preserve">. The Corporation covenants that it will at all times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be issuable (taking into account the adjustments and restrictions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upon the conversion of the then outstanding shares of Preferred Stock (assuming for such purpose a Conversion Price equal to the Floor Price and any such conversions are made without regard to any limitations on conversion set forth herein). The Corporation covenants that all shares of Common Stock that shall be so issuable shall, upon issue, in accordance with this Certificate of Designation, be duly authorized, validly issued, fully paid and nonassessable.</w:t>
      </w:r>
    </w:p>
    <w:p>
      <w:pPr>
        <w:spacing w:after="0" w:line="83" w:lineRule="exact"/>
        <w:rPr>
          <w:rFonts w:ascii="Times New Roman" w:cs="Times New Roman" w:eastAsia="Times New Roman" w:hAnsi="Times New Roman"/>
          <w:sz w:val="18"/>
          <w:szCs w:val="18"/>
          <w:color w:val="auto"/>
        </w:rPr>
      </w:pPr>
    </w:p>
    <w:p>
      <w:pPr>
        <w:ind w:firstLine="408"/>
        <w:spacing w:after="0" w:line="256" w:lineRule="auto"/>
        <w:tabs>
          <w:tab w:leader="none" w:pos="7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79" w:lineRule="exact"/>
        <w:rPr>
          <w:rFonts w:ascii="Times New Roman" w:cs="Times New Roman" w:eastAsia="Times New Roman" w:hAnsi="Times New Roman"/>
          <w:sz w:val="18"/>
          <w:szCs w:val="18"/>
          <w:color w:val="auto"/>
        </w:rPr>
      </w:pPr>
    </w:p>
    <w:p>
      <w:pPr>
        <w:ind w:right="60" w:firstLine="408"/>
        <w:spacing w:after="0" w:line="255" w:lineRule="auto"/>
        <w:tabs>
          <w:tab w:leader="none" w:pos="7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xml:space="preserve">. The issuance of Conversion Shares on conversion of this Preferred Stock shall be made without charge to any Holder for any documentary stamp or similar taxes that may be payable in respect of the issue or delivery of such Conversion Shares,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40"/>
          </w:cols>
          <w:pgMar w:left="1420" w:top="270" w:right="439" w:bottom="1440" w:gutter="0" w:footer="0" w:header="0"/>
        </w:sectPr>
      </w:pPr>
    </w:p>
    <w:bookmarkStart w:id="99" w:name="page100"/>
    <w:bookmarkEnd w:id="99"/>
    <w:p>
      <w:pPr>
        <w:ind w:firstLine="419"/>
        <w:spacing w:after="0" w:line="251" w:lineRule="auto"/>
        <w:tabs>
          <w:tab w:leader="none" w:pos="6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Limitation</w:t>
      </w:r>
      <w:r>
        <w:rPr>
          <w:rFonts w:ascii="Times New Roman" w:cs="Times New Roman" w:eastAsia="Times New Roman" w:hAnsi="Times New Roman"/>
          <w:sz w:val="18"/>
          <w:szCs w:val="18"/>
          <w:color w:val="auto"/>
        </w:rPr>
        <w:t xml:space="preserve">. A Holder may notify the Corporation in writing in the event it elects to be subject to the provisions contained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however, no Holder shall be subject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unless he, she or it makes such election. If the election is made, (i) the Corporation shall not effect any conversion of the Preferred Stock, and such Holder shall not have the right to convert all or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4.9%, 9.9%, or 19.9% of the Corporation’s Common Stock (or such other amount as a Holder may specify)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and (ii) the Corporation shall not permit the Holder to vote, and such Holder shall not have the right vote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of this Certificate of Designation, all or any portion of the Preferred Stock that such Holder is not permitted to convert pursuant to the preceding clause (i) (provided, however, that such Holder shall retain the right to vote pursuant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of this Certificate of Designation to the extent that retaining such right does not cause such Holder to be deemed to beneficially own Conversion Shares within the meaning of Rule 13d-3 promulgated under the Exchange Act).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beneficially owned by such Holder or any of its Affiliates or Attribution Parties. Except as set forth in the preceding sentence, for purposes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To the extent that the limitation contained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Holder shall provide the Corporation with any information reasonably requested by the Corporation in connection with this Beneficial Ownership Limitation and the provisions related thereto, in each case with respect to the Corporation’s reporting obligations pursuant to the Securities Act, the Exchange Act, or other federal or</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80" w:top="270" w:right="439" w:bottom="1440" w:gutter="0" w:footer="0" w:header="0"/>
        </w:sectPr>
      </w:pPr>
    </w:p>
    <w:bookmarkStart w:id="100" w:name="page101"/>
    <w:bookmarkEnd w:id="100"/>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 securities regulations. For purposes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(which may be via email) of a Holder, the Corporation shall within two Trading Days confirm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By written notice to the Corporation, a Holder may from time to time increase or decrease the Beneficial Ownership Limitation applicable to such Holder, provided, however, that any such increase in the Beneficial Ownership Limitation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Corporation.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53" w:lineRule="auto"/>
        <w:tabs>
          <w:tab w:leader="none" w:pos="66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xml:space="preserve">.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or any cash distributions),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each of the Conversion Price and the Floor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70" w:right="439" w:bottom="1440" w:gutter="0" w:footer="0" w:header="0"/>
        </w:sectPr>
      </w:pPr>
    </w:p>
    <w:bookmarkStart w:id="101" w:name="page102"/>
    <w:bookmarkEnd w:id="101"/>
    <w:p>
      <w:pPr>
        <w:ind w:right="40" w:firstLine="419"/>
        <w:spacing w:after="0" w:line="217" w:lineRule="auto"/>
        <w:tabs>
          <w:tab w:leader="none" w:pos="6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VWAP Reset</w:t>
      </w:r>
      <w:r>
        <w:rPr>
          <w:rFonts w:ascii="Times New Roman" w:cs="Times New Roman" w:eastAsia="Times New Roman" w:hAnsi="Times New Roman"/>
          <w:sz w:val="18"/>
          <w:szCs w:val="18"/>
          <w:color w:val="auto"/>
        </w:rPr>
        <w:t>. If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six months after the Closing Date, the VWAP (the “</w:t>
      </w:r>
      <w:r>
        <w:rPr>
          <w:rFonts w:ascii="Times New Roman" w:cs="Times New Roman" w:eastAsia="Times New Roman" w:hAnsi="Times New Roman"/>
          <w:sz w:val="18"/>
          <w:szCs w:val="18"/>
          <w:b w:val="1"/>
          <w:bCs w:val="1"/>
          <w:color w:val="auto"/>
        </w:rPr>
        <w:t>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is less than the Conversion Price then in effect, then the Conversion Price then in effect shall be reduced to an amount equal to the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the Measurement Price and (ii) $8.00. In addition, if on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that is nine months after the Closing Date, the VWAP (the “</w:t>
      </w:r>
      <w:r>
        <w:rPr>
          <w:rFonts w:ascii="Times New Roman" w:cs="Times New Roman" w:eastAsia="Times New Roman" w:hAnsi="Times New Roman"/>
          <w:sz w:val="18"/>
          <w:szCs w:val="18"/>
          <w:b w:val="1"/>
          <w:bCs w:val="1"/>
          <w:color w:val="auto"/>
        </w:rPr>
        <w:t>Second Measurement Price</w:t>
      </w:r>
      <w:r>
        <w:rPr>
          <w:rFonts w:ascii="Times New Roman" w:cs="Times New Roman" w:eastAsia="Times New Roman" w:hAnsi="Times New Roman"/>
          <w:sz w:val="18"/>
          <w:szCs w:val="18"/>
          <w:color w:val="auto"/>
        </w:rPr>
        <w:t>”) is less than the Conversion Price then in effect, then the Conversion Price then in effect shall be reduced to an amount equal to the greater of (i) the Second Measurement Price and (ii) $6.00.</w:t>
      </w:r>
    </w:p>
    <w:p>
      <w:pPr>
        <w:spacing w:after="0" w:line="89" w:lineRule="exact"/>
        <w:rPr>
          <w:rFonts w:ascii="Times New Roman" w:cs="Times New Roman" w:eastAsia="Times New Roman" w:hAnsi="Times New Roman"/>
          <w:sz w:val="18"/>
          <w:szCs w:val="18"/>
          <w:color w:val="auto"/>
        </w:rPr>
      </w:pPr>
    </w:p>
    <w:p>
      <w:pPr>
        <w:ind w:firstLine="419"/>
        <w:spacing w:after="0" w:line="253" w:lineRule="auto"/>
        <w:tabs>
          <w:tab w:leader="none" w:pos="66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xml:space="preserve">. If and whenever on or after the Closing Date until the first date on which no shares of Preferred Stock are outstanding the Corporation issues or sells, or in accordance with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is deemed to have issued or sold, any shares of Common Stock (including the issuance or sale of shares of Common Stock owned or held by or for the account of the Corporation, </w:t>
      </w:r>
      <w:r>
        <w:rPr>
          <w:rFonts w:ascii="Times New Roman" w:cs="Times New Roman" w:eastAsia="Times New Roman" w:hAnsi="Times New Roman"/>
          <w:sz w:val="18"/>
          <w:szCs w:val="18"/>
          <w:i w:val="1"/>
          <w:iCs w:val="1"/>
          <w:color w:val="auto"/>
        </w:rPr>
        <w:t>but</w:t>
      </w:r>
      <w:r>
        <w:rPr>
          <w:rFonts w:ascii="Times New Roman" w:cs="Times New Roman" w:eastAsia="Times New Roman" w:hAnsi="Times New Roman"/>
          <w:sz w:val="18"/>
          <w:szCs w:val="18"/>
          <w:color w:val="auto"/>
        </w:rPr>
        <w:t xml:space="preserve"> excluding shares of Common Stock issued or sold, or deemed to have been issued or sold, by the Corporation in connection with any Exempt Issuance)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the Conversion Price then in effect (each such issue, sale or deemed issuance or sale,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where the aggregate amount of consideration received by the Corporation, together with all prior issuances and sales conducted for the purpose of raising capital by the Corporation on or after the Closing Date that were excluded from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by this clause, exceeds $500,000,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following shall be applicable:</w:t>
      </w:r>
    </w:p>
    <w:p>
      <w:pPr>
        <w:spacing w:after="0" w:line="86"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Common Stock issued or deemed to have been issued pursuant to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relating to Options and Convertible Securities, shall be determined by dividing: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-1214120</wp:posOffset>
            </wp:positionV>
            <wp:extent cx="1746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47" w:lineRule="exact"/>
        <w:rPr>
          <w:sz w:val="20"/>
          <w:szCs w:val="20"/>
          <w:color w:val="auto"/>
        </w:rPr>
      </w:pPr>
    </w:p>
    <w:p>
      <w:pPr>
        <w:ind w:left="1520" w:right="140" w:hanging="533"/>
        <w:spacing w:after="0" w:line="256" w:lineRule="auto"/>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2" w:lineRule="exact"/>
        <w:rPr>
          <w:rFonts w:ascii="Times New Roman" w:cs="Times New Roman" w:eastAsia="Times New Roman" w:hAnsi="Times New Roman"/>
          <w:sz w:val="18"/>
          <w:szCs w:val="18"/>
          <w:color w:val="auto"/>
        </w:rPr>
      </w:pPr>
    </w:p>
    <w:p>
      <w:pPr>
        <w:ind w:left="1520" w:right="300" w:hanging="533"/>
        <w:spacing w:after="0" w:line="266" w:lineRule="auto"/>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number of shares of Common Stock (as set forth in the instruments relating thereto, without regard to any provision contained therein for a subsequent adjustment of such number) deemed to be issued pursuant to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xml:space="preserve"> upon the issuance of such Options or Convertible Securities.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66" w:right="459" w:bottom="1440" w:gutter="0" w:footer="0" w:header="0"/>
        </w:sectPr>
      </w:pPr>
    </w:p>
    <w:bookmarkStart w:id="102" w:name="page103"/>
    <w:bookmarkEnd w:id="102"/>
    <w:p>
      <w:pPr>
        <w:ind w:left="660" w:hanging="27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Issuance of Options and Convertible Securities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3"/>
        <w:spacing w:after="0" w:line="254" w:lineRule="auto"/>
        <w:tabs>
          <w:tab w:leader="none" w:pos="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outstanding and to have been issued as of the time of such issue or, in case such a record date shall have been fixed, as of the close of business on such record date.</w:t>
      </w:r>
    </w:p>
    <w:p>
      <w:pPr>
        <w:spacing w:after="0" w:line="97" w:lineRule="exact"/>
        <w:rPr>
          <w:rFonts w:ascii="Times New Roman" w:cs="Times New Roman" w:eastAsia="Times New Roman" w:hAnsi="Times New Roman"/>
          <w:sz w:val="18"/>
          <w:szCs w:val="18"/>
          <w:color w:val="auto"/>
        </w:rPr>
      </w:pPr>
    </w:p>
    <w:p>
      <w:pPr>
        <w:ind w:left="960" w:right="340" w:hanging="533"/>
        <w:spacing w:after="0" w:line="257" w:lineRule="auto"/>
        <w:tabs>
          <w:tab w:leader="none" w:pos="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(other than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 proportional changes in conversion or exercise prices, as applicable, in connection with an event referred to in</w:t>
      </w:r>
    </w:p>
    <w:p>
      <w:pPr>
        <w:spacing w:after="0" w:line="9" w:lineRule="exact"/>
        <w:rPr>
          <w:sz w:val="20"/>
          <w:szCs w:val="20"/>
          <w:color w:val="auto"/>
        </w:rPr>
      </w:pPr>
    </w:p>
    <w:p>
      <w:pPr>
        <w:ind w:left="9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and (ii) automatic adjustments to such terms pursuant to anti-dilution or similar provisions of such Option or Convertible Security which are not more favorable to the holder thereof than the anti-dilution and similar provisions set forth herein),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if the terms of any Option or Convertible Security that was outstanding as of the date of first issuance of a share of Preferred Stock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rFonts w:ascii="Times New Roman" w:cs="Times New Roman" w:eastAsia="Times New Roman" w:hAnsi="Times New Roman"/>
          <w:sz w:val="18"/>
          <w:szCs w:val="18"/>
          <w:u w:val="single" w:color="auto"/>
          <w:color w:val="auto"/>
        </w:rPr>
        <w:t>Section 7(c)(ii)</w:t>
      </w:r>
      <w:r>
        <w:rPr>
          <w:rFonts w:ascii="Times New Roman" w:cs="Times New Roman" w:eastAsia="Times New Roman" w:hAnsi="Times New Roman"/>
          <w:sz w:val="18"/>
          <w:szCs w:val="18"/>
          <w:color w:val="auto"/>
        </w:rPr>
        <w:t xml:space="preserve"> shall be made if such adjustment would result in an increase of the Conversion Price then in effect.</w:t>
      </w:r>
    </w:p>
    <w:p>
      <w:pPr>
        <w:spacing w:after="0" w:line="1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70" w:right="459" w:bottom="1440" w:gutter="0" w:footer="0" w:header="0"/>
        </w:sectPr>
      </w:pPr>
    </w:p>
    <w:bookmarkStart w:id="103" w:name="page104"/>
    <w:bookmarkEnd w:id="103"/>
    <w:p>
      <w:pPr>
        <w:ind w:left="700" w:hanging="312"/>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of Consideration Received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3"/>
        <w:spacing w:after="0" w:line="258" w:lineRule="auto"/>
        <w:tabs>
          <w:tab w:leader="none" w:pos="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one or more Option is issued in connection with the issue or sale of other securities of the Corporation, together comprising one integrated transaction, (x) each such Option will be deemed to have been issued for the Option Value of such Option and (y) the other securities issued or sold in such integrated transaction shall be deemed to have been issued or sold for the difference of (I) the aggregate consideration received by the Corporation less any consideration paid or payable by the Corporation pursuant to the terms of such other securities of the Corporation, less (II) the Option Value of each such Option.</w:t>
      </w:r>
    </w:p>
    <w:p>
      <w:pPr>
        <w:spacing w:after="0" w:line="88" w:lineRule="exact"/>
        <w:rPr>
          <w:rFonts w:ascii="Times New Roman" w:cs="Times New Roman" w:eastAsia="Times New Roman" w:hAnsi="Times New Roman"/>
          <w:sz w:val="18"/>
          <w:szCs w:val="18"/>
          <w:color w:val="auto"/>
        </w:rPr>
      </w:pPr>
    </w:p>
    <w:p>
      <w:pPr>
        <w:ind w:left="960" w:hanging="533"/>
        <w:spacing w:after="0" w:line="252" w:lineRule="auto"/>
        <w:tabs>
          <w:tab w:leader="none" w:pos="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Common Stock, Options or Convertible Securities are issued or sold or deemed to have been issued or sold for cash, the consideration other than cash received therefor will be deemed to be the net amount received by the Corporation therefor. If any shares of Common Stock, Options or Convertible Securities are issued or sold for a consideration other than cash, the amount of such consideration received by the Corporation will be the fair value of such consideration, except where such consideration consists of publicly traded securities, in which case the amount of consideration received by the Corporation will be the VWAP of such publicly traded securities on the date of receipt. If any shares of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Corporation and the Required Holders.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Business Days after the tenth (10th) day following the Valuation Event by an independent, reputable appraiser jointly selected by the Corporation and the Required Holders. The determination of such appraiser shall be final and binding upon all parties absent manifest error and the fees and expenses of such appraiser shall be borne by the Corporation.</w:t>
      </w:r>
    </w:p>
    <w:p>
      <w:pPr>
        <w:spacing w:after="0" w:line="86" w:lineRule="exact"/>
        <w:rPr>
          <w:rFonts w:ascii="Times New Roman" w:cs="Times New Roman" w:eastAsia="Times New Roman" w:hAnsi="Times New Roman"/>
          <w:sz w:val="18"/>
          <w:szCs w:val="18"/>
          <w:color w:val="auto"/>
        </w:rPr>
      </w:pPr>
    </w:p>
    <w:p>
      <w:pPr>
        <w:ind w:left="-20" w:right="20" w:firstLine="408"/>
        <w:spacing w:after="0" w:line="258"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Corporation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104" w:name="page105"/>
    <w:bookmarkEnd w:id="104"/>
    <w:p>
      <w:pPr>
        <w:ind w:left="540" w:firstLine="408"/>
        <w:spacing w:after="0" w:line="261" w:lineRule="auto"/>
        <w:tabs>
          <w:tab w:leader="none" w:pos="119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or Termination of Options or Convertible Securities</w:t>
      </w:r>
      <w:r>
        <w:rPr>
          <w:rFonts w:ascii="Times New Roman" w:cs="Times New Roman" w:eastAsia="Times New Roman" w:hAnsi="Times New Roman"/>
          <w:sz w:val="18"/>
          <w:szCs w:val="18"/>
          <w:color w:val="auto"/>
        </w:rPr>
        <w:t xml:space="preserve">. Upon the expiration or termination of any unexercised Option or unconverted or unexchanged Convertible Securities (or portion thereof) which resulted (either upon its original issuance or upon a revision of its terms) in an adjustment to the Conversion Price pursuant to the terms of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Conversion Price shall be readjusted to such Conversion Price as would have obtained had such Option or Convertible Securities (or portion thereof) never been issued.</w:t>
      </w:r>
    </w:p>
    <w:p>
      <w:pPr>
        <w:spacing w:after="0" w:line="71"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Holders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conversion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To the extent that the issue price of such Purchase Rights would result in an adjustment of the Conversion Price pursuant to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such adjustment shall not occur to the extent the Holders were granted the right to acquire such Purchase Rights on the applicable terms.</w:t>
      </w:r>
    </w:p>
    <w:p>
      <w:pPr>
        <w:spacing w:after="0" w:line="89" w:lineRule="exact"/>
        <w:rPr>
          <w:rFonts w:ascii="Times New Roman" w:cs="Times New Roman" w:eastAsia="Times New Roman" w:hAnsi="Times New Roman"/>
          <w:sz w:val="18"/>
          <w:szCs w:val="18"/>
          <w:color w:val="auto"/>
        </w:rPr>
      </w:pPr>
    </w:p>
    <w:p>
      <w:pPr>
        <w:ind w:right="80" w:firstLine="419"/>
        <w:spacing w:after="0" w:line="254" w:lineRule="auto"/>
        <w:tabs>
          <w:tab w:leader="none" w:pos="6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In addition to the requirements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in any voluntary or involuntary liquidation, dissolution or winding up of the Corporation or Deemed Liquidation Event)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in each such case, the Holders shall be entitled to participate in such Distribution to the same extent that the Holders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105" w:name="page106"/>
    <w:bookmarkEnd w:id="10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such grant, issuance or sale, as its right thereto would not result in the Holder exceeding the Beneficial Ownership Limitation).</w:t>
      </w:r>
    </w:p>
    <w:p>
      <w:pPr>
        <w:spacing w:after="0" w:line="79" w:lineRule="exact"/>
        <w:rPr>
          <w:sz w:val="20"/>
          <w:szCs w:val="20"/>
          <w:color w:val="auto"/>
        </w:rPr>
      </w:pPr>
    </w:p>
    <w:p>
      <w:pPr>
        <w:ind w:left="640" w:hanging="221"/>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while this Preferred Stock is outstanding, (i) the Corporation, directly or indirectly, in one or more related transactions effects any merger or consolidation of the Corporation with or into another Person, (ii) the Corporation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Corporation,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or</w:t>
      </w:r>
    </w:p>
    <w:p>
      <w:pPr>
        <w:spacing w:after="0" w:line="5" w:lineRule="exact"/>
        <w:rPr>
          <w:rFonts w:ascii="Times New Roman" w:cs="Times New Roman" w:eastAsia="Times New Roman" w:hAnsi="Times New Roman"/>
          <w:sz w:val="18"/>
          <w:szCs w:val="18"/>
          <w:color w:val="auto"/>
        </w:rPr>
      </w:pPr>
    </w:p>
    <w:p>
      <w:pPr>
        <w:ind w:left="540" w:right="20" w:firstLine="7"/>
        <w:spacing w:after="0" w:line="251" w:lineRule="auto"/>
        <w:tabs>
          <w:tab w:leader="none" w:pos="79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50% or more of the outstanding shares of Common Stock or 50% or more of the voting power of the common equity of the Corporation, and such event(s) do not constitute a Deemed Liquidation Event (each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upon any subsequent conversion of this Preferred Stock, the Holder shall have the right to receive,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Share that would have been issuable upon such conversion immediately prior to the occurrence of such Fundamental Transaction (without regard to any limitation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on the conversion of this Preferred Stock), the number of shares of capital stock of the successor or acquiring corporation or of the Corporation, if it is the surviving corporation, and any additional consideration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Preferred Stock is convertible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on the conversion of this Preferred Stock).</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106" w:name="page107"/>
    <w:bookmarkEnd w:id="106"/>
    <w:p>
      <w:pPr>
        <w:ind w:left="540" w:firstLine="408"/>
        <w:spacing w:after="0" w:line="254" w:lineRule="auto"/>
        <w:tabs>
          <w:tab w:leader="none" w:pos="120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w:t>
      </w:r>
    </w:p>
    <w:p>
      <w:pPr>
        <w:spacing w:after="0" w:line="80"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5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cause any successor entity in a Fundamental Transaction in which the Corporation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to assume in writing all of the obligations of the Corporation under this Certificate of Designation in accordance with the provisions of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pursuant to written agreements in form and substance reasonably satisfactory to the Required Holders and approved by the Required Holders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Required Holders.</w:t>
      </w:r>
    </w:p>
    <w:p>
      <w:pPr>
        <w:spacing w:after="0" w:line="79" w:lineRule="exact"/>
        <w:rPr>
          <w:rFonts w:ascii="Times New Roman" w:cs="Times New Roman" w:eastAsia="Times New Roman" w:hAnsi="Times New Roman"/>
          <w:sz w:val="18"/>
          <w:szCs w:val="18"/>
          <w:color w:val="auto"/>
        </w:rPr>
      </w:pPr>
    </w:p>
    <w:p>
      <w:pPr>
        <w:jc w:val="both"/>
        <w:ind w:right="80" w:firstLine="419"/>
        <w:spacing w:after="0" w:line="224" w:lineRule="auto"/>
        <w:tabs>
          <w:tab w:leader="none" w:pos="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made to the nearest cent or the nearest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as the case may be.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80" w:top="270" w:right="439" w:bottom="1440" w:gutter="0" w:footer="0" w:header="0"/>
        </w:sectPr>
      </w:pPr>
    </w:p>
    <w:bookmarkStart w:id="107" w:name="page108"/>
    <w:bookmarkEnd w:id="107"/>
    <w:p>
      <w:pPr>
        <w:ind w:left="261" w:hanging="261"/>
        <w:spacing w:after="0"/>
        <w:tabs>
          <w:tab w:leader="none" w:pos="26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240" w:firstLine="408"/>
        <w:spacing w:after="0" w:line="266" w:lineRule="auto"/>
        <w:tabs>
          <w:tab w:leader="none" w:pos="7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xml:space="preserve">. Whenever the Conversion Price is adjusted pursuant to any provision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Corporation shall promptly deliver to each Holder by email a notice setting forth the Conversion Price after such adjustment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121" w:firstLine="408"/>
        <w:spacing w:after="0" w:line="251" w:lineRule="auto"/>
        <w:tabs>
          <w:tab w:leader="none" w:pos="78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Conversion by Holder</w:t>
      </w:r>
      <w:r>
        <w:rPr>
          <w:rFonts w:ascii="Times New Roman" w:cs="Times New Roman" w:eastAsia="Times New Roman" w:hAnsi="Times New Roman"/>
          <w:sz w:val="18"/>
          <w:szCs w:val="18"/>
          <w:color w:val="auto"/>
        </w:rPr>
        <w:t xml:space="preserve">. If (A) the Corporation shall declare a dividend (or any other distribution in whatever form) on the Common Stock, (B) the Corporation shall declare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(and all of its Subsidiaries, taken as a whole),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email address as it shall appear upon the stock books of the Corporation,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unless determined by the Corporation that such filing would be harmful to the Corporation at such time, in which case the Corporation shall file such 8-K as soon as is reasonably practicable in its discretion. For the avoidance of doubt, and without limiting the conversion rights of any Holder, each Holder shall remain entitled to convert its Preferred Stock (in whole or in part) during the twenty (20)-day period commencing on the date of such notice through the effective date of the event triggering such notice except as may otherwise be expressly set forth herein.</w:t>
      </w:r>
    </w:p>
    <w:p>
      <w:pPr>
        <w:spacing w:after="0" w:line="13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41"/>
          </w:cols>
          <w:pgMar w:left="1299" w:top="270" w:right="459" w:bottom="1440" w:gutter="0" w:footer="0" w:header="0"/>
        </w:sectPr>
      </w:pPr>
    </w:p>
    <w:bookmarkStart w:id="108" w:name="page109"/>
    <w:bookmarkEnd w:id="10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20" w:firstLine="419"/>
        <w:spacing w:after="0" w:line="312" w:lineRule="auto"/>
        <w:tabs>
          <w:tab w:leader="none" w:pos="66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by the Corporation</w:t>
      </w:r>
      <w:r>
        <w:rPr>
          <w:rFonts w:ascii="Times New Roman" w:cs="Times New Roman" w:eastAsia="Times New Roman" w:hAnsi="Times New Roman"/>
          <w:sz w:val="17"/>
          <w:szCs w:val="17"/>
          <w:color w:val="auto"/>
        </w:rPr>
        <w:t xml:space="preserve">. Subject to the provisions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unless prohibited by applicable law governing distributions to stockholders, the Corporation may, in its sole discretion, redeem all or a portion of the outstanding shares of Preferred Stock:</w:t>
      </w:r>
    </w:p>
    <w:p>
      <w:pPr>
        <w:spacing w:after="0" w:line="31" w:lineRule="exact"/>
        <w:rPr>
          <w:rFonts w:ascii="Times New Roman" w:cs="Times New Roman" w:eastAsia="Times New Roman" w:hAnsi="Times New Roman"/>
          <w:sz w:val="17"/>
          <w:szCs w:val="17"/>
          <w:color w:val="auto"/>
        </w:rPr>
      </w:pPr>
    </w:p>
    <w:p>
      <w:pPr>
        <w:ind w:left="540" w:right="600" w:firstLine="408"/>
        <w:spacing w:after="0" w:line="282" w:lineRule="auto"/>
        <w:tabs>
          <w:tab w:leader="none" w:pos="115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anniversary of the Closing Date, at a redemption price per share equal to 150%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0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first anniversary of the Closing Date but prior to the second anniversary of the Closing Date, at a redemption price per share equal to 140%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5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second anniversary of the Closing Date but prior to the third anniversary of the Closing Date, at a redemption price per share equal to 130%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4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the Closing Date but prior to the fourth anniversary of the Closing Date, at a redemption price per share equal to 120% of the Accrued Value plus Accrued but Unpaid Dividends on such share;</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9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fourth anniversary of the Closing Date but prior to the fifth anniversary of the Closing Date, at a redemption price per share equal to 110% of the Accrued Value plus Accrued but Unpaid Dividends on such share; and</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4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fifth anniversary of the Closing Date, at a redemption price per share equal to 100% of the Accrued Value plus Accrued but Unpaid Dividends on such share.</w:t>
      </w:r>
    </w:p>
    <w:p>
      <w:pPr>
        <w:spacing w:after="0" w:line="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on the date of such redemption, applicable law governing distributions to stockholders prevents the Corporation from redeeming all shares of Preferred Stock scheduled to be redeemed, the Corporation shall be entitled to ratably redeem the maximum number of shares that it may redeem consistent with such law and any Preferred Stock not so redeemed shall remain outstanding. The Corporation shall provide written notice (the “</w:t>
      </w:r>
      <w:r>
        <w:rPr>
          <w:rFonts w:ascii="Times New Roman" w:cs="Times New Roman" w:eastAsia="Times New Roman" w:hAnsi="Times New Roman"/>
          <w:sz w:val="18"/>
          <w:szCs w:val="18"/>
          <w:b w:val="1"/>
          <w:bCs w:val="1"/>
          <w:color w:val="auto"/>
        </w:rPr>
        <w:t>Corporation Notice</w:t>
      </w:r>
      <w:r>
        <w:rPr>
          <w:rFonts w:ascii="Times New Roman" w:cs="Times New Roman" w:eastAsia="Times New Roman" w:hAnsi="Times New Roman"/>
          <w:sz w:val="18"/>
          <w:szCs w:val="18"/>
          <w:color w:val="auto"/>
        </w:rPr>
        <w:t xml:space="preserve">”) by e-mail and first class mail postage prepaid, to each Holder of record (determined at the close of business on the Business Day next preceding the day on which the Corporation Notice is given) of the Preferred Stock to be redeemed, at the address last shown on the records of the Corporation for such Holder, notifying such Holder of the redemption to be effected, specifying the number of shares to be redeemed from such Holder, specifying the date of such redemption, the redemption price, the place at which payment may be obtained and calling upon such Holder to surrender to the Corporation, in the manner and at the place designated, his, her or its certificate or certificates representing the shares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date of redemption shall be not less than 15 days from the date of the Corporation Notice. Except as otherwise provided herein, on or after the applicable date of redemption, each Holder to be redeemed shall surrender to the Corporation the certificate or certificates representing such shares, in the manner and at the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109" w:name="page110"/>
    <w:bookmarkEnd w:id="10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 designated in the Corporation Notice, and thereupon the price of redemption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 Notwithstanding anything herein to the contrary, each Holder shall remain entitled to convert all or a portion of its Preferred Stock at any time and from time to time during the 15-day period commencing on the date of the Corporation Notice through the applicable date of redemption.</w:t>
      </w:r>
    </w:p>
    <w:p>
      <w:pPr>
        <w:spacing w:after="0" w:line="75" w:lineRule="exact"/>
        <w:rPr>
          <w:sz w:val="20"/>
          <w:szCs w:val="20"/>
          <w:color w:val="auto"/>
        </w:rPr>
      </w:pPr>
    </w:p>
    <w:p>
      <w:pPr>
        <w:ind w:left="680" w:hanging="261"/>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the 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5" w:lineRule="auto"/>
        <w:tabs>
          <w:tab w:leader="none" w:pos="11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applicable law governing distribution to stockholders, shares of Preferred Stock owned by a requesting Holder shall be redeemed by the Corporation at a purchase price equal to the Accrued Value plus Accrued but Unpaid Dividends on such shares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if at any time and from time to time after the fifth anniversary of the Closing Date, a Holder delivers to the Corporation a written notice demanding redemption of all of such Holder’s shares of Preferred Stock (the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The 180th day after the date of such notice shall be referred to as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Upon receipt of a Redemption Request, the Corporation shall apply all of its assets to any such redemption, and to no other corporate purpose, until the Redemption Price has been paid in full, except to the extent prohibited by Delaware law governing distributions to stockholders.</w:t>
      </w:r>
    </w:p>
    <w:p>
      <w:pPr>
        <w:spacing w:after="0" w:line="80"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Redemption Request, the Corporation shall send written notice of the mandatory redemption (the</w:t>
      </w:r>
    </w:p>
    <w:p>
      <w:pPr>
        <w:spacing w:after="0" w:line="27" w:lineRule="exact"/>
        <w:rPr>
          <w:sz w:val="20"/>
          <w:szCs w:val="20"/>
          <w:color w:val="auto"/>
        </w:rPr>
      </w:pPr>
    </w:p>
    <w:p>
      <w:pPr>
        <w:ind w:left="540" w:right="3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the redeeming Holder of record of Preferred Stock not less than 15 days prior to the Redemption Date. The Redemption Notice shall state:</w:t>
      </w:r>
    </w:p>
    <w:p>
      <w:pPr>
        <w:spacing w:after="0" w:line="87" w:lineRule="exact"/>
        <w:rPr>
          <w:sz w:val="20"/>
          <w:szCs w:val="20"/>
          <w:color w:val="auto"/>
        </w:rPr>
      </w:pPr>
    </w:p>
    <w:p>
      <w:pPr>
        <w:ind w:left="1520" w:hanging="533"/>
        <w:spacing w:after="0"/>
        <w:tabs>
          <w:tab w:leader="none" w:pos="15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held by the Holder that the Corporation shall redeem on the Redemption Date;</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and</w:t>
      </w:r>
    </w:p>
    <w:p>
      <w:pPr>
        <w:spacing w:after="0" w:line="130" w:lineRule="exact"/>
        <w:rPr>
          <w:rFonts w:ascii="Times New Roman" w:cs="Times New Roman" w:eastAsia="Times New Roman" w:hAnsi="Times New Roman"/>
          <w:sz w:val="18"/>
          <w:szCs w:val="18"/>
          <w:color w:val="auto"/>
        </w:rPr>
      </w:pPr>
    </w:p>
    <w:p>
      <w:pPr>
        <w:ind w:left="1520" w:right="220" w:hanging="533"/>
        <w:spacing w:after="0" w:line="282" w:lineRule="auto"/>
        <w:tabs>
          <w:tab w:leader="none" w:pos="15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53" w:lineRule="exact"/>
        <w:rPr>
          <w:rFonts w:ascii="Times New Roman" w:cs="Times New Roman" w:eastAsia="Times New Roman" w:hAnsi="Times New Roman"/>
          <w:sz w:val="18"/>
          <w:szCs w:val="18"/>
          <w:color w:val="auto"/>
        </w:rPr>
      </w:pPr>
    </w:p>
    <w:p>
      <w:pPr>
        <w:ind w:left="540" w:firstLine="408"/>
        <w:spacing w:after="0" w:line="255" w:lineRule="auto"/>
        <w:tabs>
          <w:tab w:leader="none" w:pos="12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Date, the Corporation shall redeem the Preferred Stock owned by such Holder. If on the Redemption Date Delaware law governing distributions to stockholders prevents the Corporation from redeeming all shares of Preferred Stock to be redeemed, the Corporation shall ratably redeem the maximum number of shares that it may redeem consistent with such law, and shall redeem the remaining shares as soon as it may lawfully do so under such law. In the event that any portion of the Redemption Price has not been paid within five Business Days following the Redemption Date, interest on such unpaid portion of the Redemption Price shall accrue thereon until such amount is paid in full at a rate equal to the lesser of (i) 24.0% per annum and (ii) the maximum rate permitted under applicable law.</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110" w:name="page111"/>
    <w:bookmarkEnd w:id="110"/>
    <w:p>
      <w:pPr>
        <w:ind w:left="4" w:right="20" w:firstLine="419"/>
        <w:spacing w:after="0" w:line="266" w:lineRule="auto"/>
        <w:tabs>
          <w:tab w:leader="none" w:pos="6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Subsequent to Redemption</w:t>
      </w:r>
      <w:r>
        <w:rPr>
          <w:rFonts w:ascii="Times New Roman" w:cs="Times New Roman" w:eastAsia="Times New Roman" w:hAnsi="Times New Roman"/>
          <w:sz w:val="18"/>
          <w:szCs w:val="18"/>
          <w:color w:val="auto"/>
        </w:rPr>
        <w:t xml:space="preserve">. Upon the redemption of shares of Preferred Stock pursuant to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all rights with respect to such shares of Preferred Stock shall immediately terminate, except with respect to the right of the Holders to receive the applicable redemption price with respect to such shares of Preferred Stock in accordance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66" w:lineRule="auto"/>
        <w:tabs>
          <w:tab w:leader="none" w:pos="67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Conversion, shall be in writing and delivered personally, by e-mail, or sent by nationally recognized overnight courier service, addressed to the Corporation, at the address set forth in the Corporation’s most recently filed Current Report on Form 8-K or email address most recently provided to Holders by the Corporation for purposes of notice hereunder Attention: Kodiak Legal, e-mail address legal@kodiak.ai, or such other e-mail address or address as the Corporation may specify for such purposes by notice to the Holders delivered in accordance with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or if no such facsimile number, e-mail address or address appears on the books of the Corporation, at the principal place of business of such Holder, as set forth in the applicable Purchase Agreement.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9" w:lineRule="exact"/>
        <w:rPr>
          <w:rFonts w:ascii="Times New Roman" w:cs="Times New Roman" w:eastAsia="Times New Roman" w:hAnsi="Times New Roman"/>
          <w:sz w:val="17"/>
          <w:szCs w:val="17"/>
          <w:color w:val="auto"/>
        </w:rPr>
      </w:pPr>
    </w:p>
    <w:p>
      <w:pPr>
        <w:ind w:left="4" w:right="380" w:hanging="4"/>
        <w:spacing w:after="0" w:line="260" w:lineRule="auto"/>
        <w:tabs>
          <w:tab w:leader="none" w:pos="3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w:t>
      </w:r>
    </w:p>
    <w:p>
      <w:pPr>
        <w:spacing w:after="0" w:line="73"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8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Absolute Obligation</w:t>
      </w:r>
      <w:r>
        <w:rPr>
          <w:rFonts w:ascii="Times New Roman" w:cs="Times New Roman" w:eastAsia="Times New Roman" w:hAnsi="Times New Roman"/>
          <w:sz w:val="18"/>
          <w:szCs w:val="18"/>
          <w:color w:val="auto"/>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4"/>
          </w:cols>
          <w:pgMar w:left="876" w:top="270" w:right="479" w:bottom="1440" w:gutter="0" w:footer="0" w:header="0"/>
        </w:sectPr>
      </w:pPr>
    </w:p>
    <w:bookmarkStart w:id="111" w:name="page112"/>
    <w:bookmarkEnd w:id="111"/>
    <w:p>
      <w:pPr>
        <w:ind w:right="80" w:firstLine="419"/>
        <w:spacing w:after="0" w:line="256" w:lineRule="auto"/>
        <w:tabs>
          <w:tab w:leader="none" w:pos="6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Lost or Mutilated Preferred Stock Certificate</w:t>
      </w:r>
      <w:r>
        <w:rPr>
          <w:rFonts w:ascii="Times New Roman" w:cs="Times New Roman" w:eastAsia="Times New Roman" w:hAnsi="Times New Roman"/>
          <w:sz w:val="18"/>
          <w:szCs w:val="18"/>
          <w:color w:val="auto"/>
        </w:rPr>
        <w:t>. If a Holder’s Preferred Stock certificate shall be mutilated, lost, stolen or destroyed, the Corporation shall issue or cause to be issued,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 (which shall not include the posting of any bond). The applicant for a new certificate under such circumstances shall also pay any reasonable third-party costs (including customary indemnity) associated with the issuance of such replacement certificate.</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All legal proceedings concerning the interpretation, enforcement and defense of the transactions contemplated by this Certificate of Designation (whether brought against a party hereto or its respective Affiliates, directors, officers, shareholders, employees or agents) shall be commenced in the state and federal courts sitting in Delaware (the “</w:t>
      </w: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 The Corporation and each Holder hereby irrevocably submits to the exclusive jurisdiction of the Delaware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Delaware Courts, or such Delaware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w:t>
      </w:r>
    </w:p>
    <w:p>
      <w:pPr>
        <w:spacing w:after="0" w:line="88"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this Certificate of Designation (or any provision hereof) may be amended by obtaining the affirmative vote at a meeting duly called for such purpose, or written consent without a meeting in accordance with the Delaware General Corporation Law, of the Required Holders, voting separately as a single class, and with such other stockholder approval, if any, as may then be required pursuant to the DGCL and the Corporation’s certificate of incorporation; provided, however, and notwithstanding anything in this Certificate of Designation to the contrary, no provision of this Certificate of Designation shall be amended to the extent any such amendment would (i) disproportionately, materially and adversely modify any rights of any Holder (as compared to the rights of the other Holders) (ii) impose any additional financial obligations or liabilities on a Holder or (iii) amend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unless such amendment applies to all Holders in the same fashion, and, in each case, unless any such Holder shall have previously consented in</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70" w:right="479" w:bottom="1440" w:gutter="0" w:footer="0" w:header="0"/>
        </w:sectPr>
      </w:pPr>
    </w:p>
    <w:bookmarkStart w:id="112" w:name="page113"/>
    <w:bookmarkEnd w:id="1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to such amendment or voted to approve such amendment at a meeting. No consideration shall be offered or paid to any Holder to amend or consent to a waiver or modification of any provision of this Certificate of Designation unless the same consideration is also offered to all of the Holders. For clarification purposes, this provision constitutes a separate right granted to each Holder by the Corporation and negotiated separately by each Holder, and is intended for the Corporation to treat the Holders as a group and shall not in any way be construed as the Holders acting in concert or as a group with respect to the purchase, disposition or voting of securities or otherwise.</w:t>
      </w:r>
    </w:p>
    <w:p>
      <w:pPr>
        <w:spacing w:after="0" w:line="75" w:lineRule="exact"/>
        <w:rPr>
          <w:sz w:val="20"/>
          <w:szCs w:val="20"/>
          <w:color w:val="auto"/>
        </w:rPr>
      </w:pPr>
    </w:p>
    <w:p>
      <w:pPr>
        <w:ind w:right="100" w:firstLine="419"/>
        <w:spacing w:after="0" w:line="256" w:lineRule="auto"/>
        <w:tabs>
          <w:tab w:leader="none" w:pos="6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75"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53"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Redeemed Preferred Stock</w:t>
      </w:r>
      <w:r>
        <w:rPr>
          <w:rFonts w:ascii="Times New Roman" w:cs="Times New Roman" w:eastAsia="Times New Roman" w:hAnsi="Times New Roman"/>
          <w:sz w:val="18"/>
          <w:szCs w:val="18"/>
          <w:color w:val="auto"/>
        </w:rPr>
        <w:t>. Shares of Preferred Stock may only be issued pursuant to the Purchase Agreements. If any shares of Preferred Stock shall be converted, redeemed or reacquired by the Corporation, such shares shall resume the status of authorized but unissued shares of preferred stock and shall no longer be designated as 9.99% Series A Cumulative Convertible Preferred Stock.</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Corporation agrees that, provided that each Holder delivers to the Corporation a properly executed IRS Form W-9 or other certification satisfactory to the Corporation certifying as to such Holder’s status (or the status of such Holder’s beneficial owner(s) if the Holder is not treated as the beneficial owner of the applicable payment for applicable U.S. federal withholding tax purposes) as a United States person (within the meaning of Section 7701(a)(30) of the Code) and such Holder’s (or such</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113" w:name="page114"/>
    <w:bookmarkEnd w:id="1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 eligibility for complete exemption from backup withholding (“</w:t>
      </w:r>
      <w:r>
        <w:rPr>
          <w:rFonts w:ascii="Times New Roman" w:cs="Times New Roman" w:eastAsia="Times New Roman" w:hAnsi="Times New Roman"/>
          <w:sz w:val="18"/>
          <w:szCs w:val="18"/>
          <w:u w:val="single" w:color="auto"/>
          <w:color w:val="auto"/>
        </w:rPr>
        <w:t>U.S. Person Certification</w:t>
      </w:r>
      <w:r>
        <w:rPr>
          <w:rFonts w:ascii="Times New Roman" w:cs="Times New Roman" w:eastAsia="Times New Roman" w:hAnsi="Times New Roman"/>
          <w:sz w:val="18"/>
          <w:szCs w:val="18"/>
          <w:color w:val="auto"/>
        </w:rPr>
        <w:t>”), under current law the Corporation (including any paying agent of the Corporation) shall not be required to, and shall not, withhold U.S. federal tax on any payments or deemed payments to any such Holder, unless the Corporation has actual knowledge or reason to know such U.S. Person Certification is incorrect, the Corporation reasonably believes that a previously delivered U.S. Person Certification is no longer accurate and/or valid, or there is a change in law that affects the withholding obligations of the Corporation. Subject to the foregoing limitations, the Corporation and its paying agent shall be entitled to withhold taxes on all payments made or deemed made to the relevant Holder or to request that the relevant Holder promptly pay the Corporation in cash any amounts required to satisfy any withholding tax obligations, in each case, to the extent the Corporation or its paying agent determines in good faith it is required to deduct and withhold tax on payments or deemed payments to the relevant Holder under applicable law; provided, that the Corporation shall use commercially reasonable efforts to notify the relevant Holder of any required withholding tax reasonably in advance of the date of the relevant payment. In the event that the Corporation does not have sufficient cash with respect to any Holder from withholding on cash payments otherwise payable to such Holder and cash paid to the Corporation by such Holder to the Corporation pursuant to the immediately preceding sentence, the Corporation and its paying agent shall be entitled to withhold taxes on deemed payments, including distributions of additional Preferred Stock in lieu of cash and constructive distributions on the Preferred Stock to the extent required by law, and the Corporation and its paying agent shall be entitled to satisfy any required withholding tax on non-cash payments (including deemed payments) through a sale of a portion of the Preferred Stock received as a dividend or from cash dividends or sales proceeds subsequently paid or credited on the Preferred Stock.</w:t>
      </w:r>
    </w:p>
    <w:p>
      <w:pPr>
        <w:spacing w:after="0" w:line="87" w:lineRule="exact"/>
        <w:rPr>
          <w:sz w:val="20"/>
          <w:szCs w:val="20"/>
          <w:color w:val="auto"/>
        </w:rPr>
      </w:pPr>
    </w:p>
    <w:p>
      <w:pPr>
        <w:ind w:right="180" w:firstLine="419"/>
        <w:spacing w:after="0" w:line="258" w:lineRule="auto"/>
        <w:tabs>
          <w:tab w:leader="none" w:pos="6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Absent a change in law, Internal Revenue Service practice or a contrary determination (as defined in Section 1313(a) of the Internal Revenue Code,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each holder of Preferred Stock and the Corporation shall not treat the Preferred Stock (based on their terms as set forth in this Certificate of Designation) as “preferred stock” within the meaning of Section 305 of the Code and Treasury Regulation Section 1.305-5 for United States federal income tax and withholding tax purposes and shall not take any position inconsistent with such treatment.</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114" w:name="page115"/>
    <w:bookmarkEnd w:id="11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Certificate of Designation is executed on behalf of the Corporation by its Chief Executive Officer this [•] day of [•], 2025.</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40"/>
          </w:cols>
          <w:pgMar w:left="440" w:top="270" w:right="819" w:bottom="1440" w:gutter="0" w:footer="0" w:header="0"/>
        </w:sectPr>
      </w:pPr>
    </w:p>
    <w:bookmarkStart w:id="115" w:name="page116"/>
    <w:bookmarkEnd w:id="115"/>
    <w:p>
      <w:pPr>
        <w:ind w:left="51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21" w:lineRule="exact"/>
        <w:rPr>
          <w:sz w:val="20"/>
          <w:szCs w:val="20"/>
          <w:color w:val="auto"/>
        </w:rPr>
      </w:pPr>
    </w:p>
    <w:p>
      <w:pPr>
        <w:ind w:left="4444"/>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7" w:lineRule="exact"/>
        <w:rPr>
          <w:sz w:val="20"/>
          <w:szCs w:val="20"/>
          <w:color w:val="auto"/>
        </w:rPr>
      </w:pPr>
    </w:p>
    <w:p>
      <w:pPr>
        <w:jc w:val="center"/>
        <w:ind w:left="460" w:right="600"/>
        <w:spacing w:after="0" w:line="260" w:lineRule="auto"/>
        <w:rPr>
          <w:sz w:val="20"/>
          <w:szCs w:val="20"/>
          <w:color w:val="auto"/>
        </w:rPr>
      </w:pPr>
      <w:r>
        <w:rPr>
          <w:rFonts w:ascii="Times New Roman" w:cs="Times New Roman" w:eastAsia="Times New Roman" w:hAnsi="Times New Roman"/>
          <w:sz w:val="18"/>
          <w:szCs w:val="18"/>
          <w:color w:val="auto"/>
        </w:rPr>
        <w:t>(TO BE EXECUTED BY THE REGISTERED HOLDER IN ORDER TO CONVERT SHARES OF 9.99% SERIES A CUMULATIVE CONVERTIBLE PREFERRED STOCK)</w:t>
      </w:r>
    </w:p>
    <w:p>
      <w:pPr>
        <w:spacing w:after="0" w:line="18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undersigned hereby elects to convert all of its shares of 9.99% Series A Cumulative Convertible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indicated below into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Kodiak AI,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accordance with the certificate of designation of such Preferred Stock,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No fee will be charged to the Holders for any conversion, except for any such transfer taxes.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131" w:lineRule="exact"/>
        <w:rPr>
          <w:sz w:val="20"/>
          <w:szCs w:val="20"/>
          <w:color w:val="auto"/>
        </w:rPr>
      </w:pPr>
    </w:p>
    <w:p>
      <w:pPr>
        <w:ind w:left="184" w:hanging="184"/>
        <w:spacing w:after="0"/>
        <w:tabs>
          <w:tab w:leader="none" w:pos="18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 Date to Effect Conversion:</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 Number of shares of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-130810</wp:posOffset>
            </wp:positionV>
            <wp:extent cx="50317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14605</wp:posOffset>
            </wp:positionV>
            <wp:extent cx="32829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544" w:val="left"/>
          <w:tab w:leader="none" w:pos="1056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Number of shares of Preferred Stock to be Converted:</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14605</wp:posOffset>
            </wp:positionV>
            <wp:extent cx="37719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 w:lineRule="exact"/>
        <w:rPr>
          <w:sz w:val="20"/>
          <w:szCs w:val="20"/>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Accrued Value plus Accrued but Unpaid Dividends of shares of Preferred Stock to be Converted:</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Number of shares of Common Stock to be Issued:</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Applicable Conversion Price:</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 Number of shares of Preferred Stock subsequent to Conversion:</w:t>
      </w:r>
    </w:p>
    <w:p>
      <w:pPr>
        <w:spacing w:after="0" w:line="2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Address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-567690</wp:posOffset>
            </wp:positionV>
            <wp:extent cx="1817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-422275</wp:posOffset>
            </wp:positionV>
            <wp:extent cx="39776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-276225</wp:posOffset>
            </wp:positionV>
            <wp:extent cx="4963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-130810</wp:posOffset>
            </wp:positionV>
            <wp:extent cx="3282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14605</wp:posOffset>
            </wp:positionV>
            <wp:extent cx="53149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-19050</wp:posOffset>
            </wp:positionV>
            <wp:extent cx="571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-19050</wp:posOffset>
            </wp:positionV>
            <wp:extent cx="571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1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A</w:t>
      </w:r>
    </w:p>
    <w:p>
      <w:pPr>
        <w:sectPr>
          <w:pgSz w:w="11900" w:h="16838" w:orient="portrait"/>
          <w:cols w:equalWidth="0" w:num="1">
            <w:col w:w="11004"/>
          </w:cols>
          <w:pgMar w:left="436" w:top="266" w:right="4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1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[FACE]</w:t>
      </w:r>
    </w:p>
    <w:p>
      <w:pPr>
        <w:spacing w:after="0" w:line="1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EXERCISE PERIOD SET FORTH BELOW</w:t>
      </w:r>
    </w:p>
    <w:p>
      <w:pPr>
        <w:spacing w:after="0" w:line="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Reference is made to (i) the Amended and Restated Subscription Agreement (as may be amended, supplemented or otherwise modified from time to time,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dated [ ], 2025 by and between Ares Acquisition Corporation II, a Cayman Islands exempted company (the “Company”) and [          ]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(ii) the Business Combination Agreement, dated April 14, 2025 (as may be amended, supplemented or otherwise modified from time to time, the “Business Combination Agreement”), by and among the Company, Kodiak Robotics, Inc., a Delaware corporation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the other parties to the Business Combination Agreement. As more fully described in the Business Combination Agreement, prior to the closing of the transactions contemplated by the Business Combination Agreement, the Company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Following the Domestication, subject to shareholder approval, the Company will be a corporation incorporated under the laws of the State of Delaware and will be renamed “Kodiak AI, Inc.” Notwithstanding anything to the contrary set forth in the Warrant Agreement (as defined below), for purposes of this Warrant Certificate and the Warrants (as defined below) evidenced by this Warrant Certificate, references to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this Warrant Certificate and the Warrant Agreement shall be deemed to be references to shares of common stock of Kodiak AI, Inc., par value $0.0001 per share.</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Warrant Certificate certifies that the Investor or its registered assigns, is the registered holder of warrants evidenced by this Warrant Certificate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Ordinary Shares. Each Warrant entitles the holder, upon exercise during the Exercise Period (as defined below),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determined pursuant to this Warrant Certificate and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in this Warrant Certificate and in the Warrant Agreement. Capitalized terms used but not defined in this Warrant Certificate have the meanings given to them in the Warrant Agreement. In the event of a conflict between this Warrant Certificate and the Warrant Agreement, the provisions of this Warrant Certificate shall prevail.</w:t>
      </w:r>
    </w:p>
    <w:p>
      <w:pPr>
        <w:spacing w:after="0" w:line="188"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initial Warrant Price per Ordinary Share for any Warrant shall equal $12.00 per share. The Warrant Price is subject to adjustment upon the occurrence of certain events set forth below and as set forth in the Warrant Agreement. Notwithstanding the foregoing, for the avoidance of doubt, the</w:t>
      </w:r>
    </w:p>
    <w:p>
      <w:pPr>
        <w:sectPr>
          <w:pgSz w:w="11900" w:h="16838" w:orient="portrait"/>
          <w:cols w:equalWidth="0" w:num="1">
            <w:col w:w="11000"/>
          </w:cols>
          <w:pgMar w:left="440" w:top="266" w:right="459" w:bottom="1440" w:gutter="0" w:footer="0" w:header="0"/>
        </w:sectPr>
      </w:pPr>
    </w:p>
    <w:bookmarkStart w:id="117" w:name="page118"/>
    <w:bookmarkEnd w:id="11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(i) Section 4.1.2(c), (d), and (e) and (ii) Section 4.3.2 of the Warrant Agreement shall not apply to the Warrants evidenced by this Warrant Certificate. In addition, if on the 46th trading day following the date that is six months after the Closing Date, the VWAP (the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 then in effect shall be reduced to an amount equal to the greater of (i) the Measurement Price and (ii) $8.00. In addition, if on the 46th trading day following the date that is nine months after the Closing Date, the VWAP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 then in effect shall be reduced to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greater of (i) the Second Measurement Price and (ii) $6.00. In addition, notwithstanding anything to the contrary set forth in this Warrant Certificate or the Warrant Agreement, the adjustments set forth in Section 7(c) of the Certificate of Designation (“Adjustment of Conversion Price upon Issuance of Common Stock”) shall apply to the Warrant Price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term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shall mean the period commencing on the date of this Warrant Certificate and terminating at the earliest to occur of: (x) 5:00 p.m., New York City time on the date that is six years after the date on which the Company completes the Business Combination, and (y) the liquidation of the Company. To the extent not exercised by the end of the Exercise Period, the Warrants shall become void. In addition, notwithstanding anything to the contrary set forth in this Warrant Certificate or the Warrant Agreement, the provisions of Sections 6.1, 6.2, and 6.3 of the Warrant Agreement shall not apply to the Warrants evidenced by this Warrant Certificate.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Warrant Certificate set forth on Annex A to this Warrant Certificate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are issued pursuant to (i) the Subscription Agreement and (ii) the Warrant Agreement dated as of April 20, 2023 (the “</w:t>
      </w:r>
      <w:r>
        <w:rPr>
          <w:rFonts w:ascii="Times New Roman" w:cs="Times New Roman" w:eastAsia="Times New Roman" w:hAnsi="Times New Roman"/>
          <w:sz w:val="18"/>
          <w:szCs w:val="18"/>
          <w:b w:val="1"/>
          <w:bCs w:val="1"/>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the Company and Continental Stock Transfer &amp; Trust Company, a New York corporation, as warrant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Agreement is incorporated by reference in and made a part of this instrument. The Warrant Agreement contains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rights, limitation of rights, obligations, duties and immunities of the Warrant Agent, the Company and the holders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meaning the Registered Holders or Registered Holder, respectively) of the Warrants.</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this Warrant Certificate. The holder of Warrants evidenced by this Warrant Certificate may exercise them by surrendering this Warrant Certificate, with the form of election to purchase set forth on Annex B to this Warrant Certificate properly completed and executed, together with payment of the Warrant Price as specified in this Warrant Certificate (or through “cashless exercise” as provided for in the Warrant Agreement) at the principal corporate trust office of the Warrant Agent. In the event that upon any exercise of Warrants evidenced by this Warrant Certificate the number of Warrants exercised shall be less than the total number of Warrants evidenced by this Warrant Certificate, there shall be issued to the holder of this Warrant Certificate or his, her or its assignee, a new Warrant Certificate evidencing the number of Warrants not exercised.</w:t>
      </w:r>
    </w:p>
    <w:p>
      <w:pPr>
        <w:spacing w:after="0" w:line="18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Notwithstanding anything in this Warrant Certificate or the Warrant Agreement to the contrary, the Registered Holder shall not be entitled to the registration rights set forth in Section 7.4.1 of the Warrant Agreement with respect to the issuance of the Ordinary Shares issuable upon exercise of the Warrants and shall instead be entitled to the registration rights set forth in Section 7 of the Subscription Agreement with respect to such Ordinary Shares.</w:t>
      </w:r>
    </w:p>
    <w:p>
      <w:pPr>
        <w:spacing w:after="0" w:line="15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Warrants evidenced by this Warrant Certificate, the obligations and limitations set forth in Section 3.3.2 of the Warrant Agreement shall not apply. Instead, for purposes of the Warrants evidenced by this Warrant Certificate, as soon as practicable after the exercise of any such Warrant and the clearance of the funds in payment of the Warrant Price (as applicable), the Company shall issue to the Registered Holder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this Warrant Certificate are exercised, a notation shall be made to the records maintained by the Depositary, its nominee for each Book-Entry Warrant Certificate, or a Participant, as appropriate, evidencing the balance of this Warrants remaining after such exercise.</w:t>
      </w:r>
    </w:p>
    <w:p>
      <w:pPr>
        <w:spacing w:after="0" w:line="19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Furthermore, notwithstanding anything in this Warrant Certificate or the Warrant Agreement to the contrary, in connection with any exercise of the Warrants evidenced by this Warrant Certificate, the Company will be entitled to choose whether such exercise is made for cash or on a “cashless basis”.</w:t>
      </w:r>
    </w:p>
    <w:p>
      <w:pPr>
        <w:spacing w:after="0" w:line="14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upon exercise of a Warrant, the holder of such Warrant would be entitled to receive a fractional interest in an Ordinary Share, the Company shall, upon exercise, round down to the nearest whole number of Ordinary Shares to be issued to the holder of the Warrant.</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of such Warrant Certificate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right="420" w:firstLine="440"/>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ectPr>
          <w:pgSz w:w="11900" w:h="16838" w:orient="portrait"/>
          <w:cols w:equalWidth="0" w:num="1">
            <w:col w:w="11000"/>
          </w:cols>
          <w:pgMar w:left="440" w:top="266" w:right="459" w:bottom="1440" w:gutter="0" w:footer="0" w:header="0"/>
        </w:sectPr>
      </w:pPr>
    </w:p>
    <w:bookmarkStart w:id="119" w:name="page120"/>
    <w:bookmarkEnd w:id="11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Warrant Agent may deem and treat the Registered Holder(s) of this Warrant Certificate as the absolute owner(s) of this Warrant Certificate (notwithstanding any notation of ownership or other writing on this Warrant Certificate made by anyone), for the purpose of any exercise of this Warrant Certificate, of any distribution to the holder(s) of this Warrant Certificate, and for all other purposes, and neither the Company nor the Warrant Agent shall be affected by any notice to the contrary. Neither the Warrants nor this Warrant Certificate entitles any holder of this Warrant Certificate to any rights of a shareholder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Certificate, the following terms have the meanings set forth below:</w:t>
      </w:r>
    </w:p>
    <w:p>
      <w:pPr>
        <w:spacing w:after="0" w:line="127" w:lineRule="exact"/>
        <w:rPr>
          <w:sz w:val="20"/>
          <w:szCs w:val="20"/>
          <w:color w:val="auto"/>
        </w:rPr>
      </w:pPr>
    </w:p>
    <w:p>
      <w:pPr>
        <w:ind w:left="960" w:hanging="42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has the meaning given to it in the Subscription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given to it in the Certificate of Designation.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given to it in the Certificate of Designation.</w:t>
      </w:r>
    </w:p>
    <w:p>
      <w:pPr>
        <w:sectPr>
          <w:pgSz w:w="11900" w:h="16838" w:orient="portrait"/>
          <w:cols w:equalWidth="0" w:num="1">
            <w:col w:w="10820"/>
          </w:cols>
          <w:pgMar w:left="440" w:top="270" w:right="6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to Purchase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Upon Exercise of Warrant)</w:t>
      </w:r>
    </w:p>
    <w:p>
      <w:pPr>
        <w:spacing w:after="0" w:line="229" w:lineRule="exact"/>
        <w:rPr>
          <w:sz w:val="20"/>
          <w:szCs w:val="20"/>
          <w:color w:val="auto"/>
        </w:rPr>
      </w:pPr>
    </w:p>
    <w:p>
      <w:pPr>
        <w:jc w:val="both"/>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undersigned irrevocably elects to exercise the right, represented by this Warrant Certificate, to receive Ordinary Shares and 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of this Election to Purchase. The undersigned requests that a certificate for such Ordinary Shares be registered in the name of         whose address is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and that such Ordinary Shares be delivered to         whose address is         . If said number of shares is less than all of the Ordinary Shares purchasable pursuant to the Warrant Certificate, the undersigned requests that a new Warrant Certificate representing the remaining balance of such Ordinary Shares be registered in the name of         , whose address is         and that such Warrant Certificate be delivered to        , whose address is         .</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of this Warrant Certificate shall complete the following: The undersigned irrevocably elects to exercise the right, represented by this Warrant Certificate, through the cashless exercise provisions of the Warrant Agreement, to receive Ordinary Shares. If said number of shares is less than all of the Ordinary Shares purchasable pursuant to this Warrant Certificate (after giving effect to the cashless exercise), the undersigned requests that a new Warrant Certificate representing the remaining balance of such Ordinary Shares be registered in the name of         , whose address is and that such Warrant Certificate be delivered to         , whose address is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180340</wp:posOffset>
            </wp:positionV>
            <wp:extent cx="26574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-7620</wp:posOffset>
            </wp:positionV>
            <wp:extent cx="11430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30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(Signature)</w:t>
      </w:r>
    </w:p>
    <w:p>
      <w:pPr>
        <w:spacing w:after="0" w:line="1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154305</wp:posOffset>
            </wp:positionV>
            <wp:extent cx="26574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308610</wp:posOffset>
            </wp:positionV>
            <wp:extent cx="26574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531495</wp:posOffset>
            </wp:positionV>
            <wp:extent cx="26574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21710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588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60"/>
          </w:cols>
          <w:pgMar w:left="440" w:top="270" w:right="599" w:bottom="1440" w:gutter="0" w:footer="0" w:header="0"/>
        </w:sectPr>
      </w:pPr>
    </w:p>
    <w:bookmarkStart w:id="122" w:name="page123"/>
    <w:bookmarkEnd w:id="122"/>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right="60" w:firstLine="440"/>
        <w:spacing w:after="0" w:line="275" w:lineRule="auto"/>
        <w:rPr>
          <w:sz w:val="20"/>
          <w:szCs w:val="20"/>
          <w:color w:val="auto"/>
        </w:rPr>
      </w:pPr>
      <w:r>
        <w:rPr>
          <w:rFonts w:ascii="Times New Roman" w:cs="Times New Roman" w:eastAsia="Times New Roman" w:hAnsi="Times New Roman"/>
          <w:sz w:val="17"/>
          <w:szCs w:val="17"/>
          <w:color w:val="auto"/>
        </w:rPr>
        <w:t>This acknowledgment and agreement (this “</w:t>
      </w:r>
      <w:r>
        <w:rPr>
          <w:rFonts w:ascii="Times New Roman" w:cs="Times New Roman" w:eastAsia="Times New Roman" w:hAnsi="Times New Roman"/>
          <w:sz w:val="17"/>
          <w:szCs w:val="17"/>
          <w:b w:val="1"/>
          <w:bCs w:val="1"/>
          <w:color w:val="auto"/>
        </w:rPr>
        <w:t>Acknowledgment and Agreement</w:t>
      </w:r>
      <w:r>
        <w:rPr>
          <w:rFonts w:ascii="Times New Roman" w:cs="Times New Roman" w:eastAsia="Times New Roman" w:hAnsi="Times New Roman"/>
          <w:sz w:val="17"/>
          <w:szCs w:val="17"/>
          <w:color w:val="auto"/>
        </w:rPr>
        <w:t>”) is made as of September 15, 2025 by and among Ares Agent Services, L.P., a Delaware limited partnership (“</w:t>
      </w:r>
      <w:r>
        <w:rPr>
          <w:rFonts w:ascii="Times New Roman" w:cs="Times New Roman" w:eastAsia="Times New Roman" w:hAnsi="Times New Roman"/>
          <w:sz w:val="17"/>
          <w:szCs w:val="17"/>
          <w:b w:val="1"/>
          <w:bCs w:val="1"/>
          <w:color w:val="auto"/>
        </w:rPr>
        <w:t>Ares Agent</w:t>
      </w:r>
      <w:r>
        <w:rPr>
          <w:rFonts w:ascii="Times New Roman" w:cs="Times New Roman" w:eastAsia="Times New Roman" w:hAnsi="Times New Roman"/>
          <w:sz w:val="17"/>
          <w:szCs w:val="17"/>
          <w:color w:val="auto"/>
        </w:rPr>
        <w:t>”), AAC II Holdings II LP (“</w:t>
      </w:r>
      <w:r>
        <w:rPr>
          <w:rFonts w:ascii="Times New Roman" w:cs="Times New Roman" w:eastAsia="Times New Roman" w:hAnsi="Times New Roman"/>
          <w:sz w:val="17"/>
          <w:szCs w:val="17"/>
          <w:b w:val="1"/>
          <w:bCs w:val="1"/>
          <w:color w:val="auto"/>
        </w:rPr>
        <w:t>AAC II</w:t>
      </w:r>
      <w:r>
        <w:rPr>
          <w:rFonts w:ascii="Times New Roman" w:cs="Times New Roman" w:eastAsia="Times New Roman" w:hAnsi="Times New Roman"/>
          <w:sz w:val="17"/>
          <w:szCs w:val="17"/>
          <w:color w:val="auto"/>
        </w:rPr>
        <w:t>”) and Kodiak Robotics, Inc.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and, together with Ares Agent and AAC II,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Reference is made to that certain Second Lien Loan and Security Agreement dated as of April 14, 2025 (as amended, modified or supplemented from time to time, the “</w:t>
      </w:r>
      <w:r>
        <w:rPr>
          <w:rFonts w:ascii="Times New Roman" w:cs="Times New Roman" w:eastAsia="Times New Roman" w:hAnsi="Times New Roman"/>
          <w:sz w:val="17"/>
          <w:szCs w:val="17"/>
          <w:b w:val="1"/>
          <w:bCs w:val="1"/>
          <w:color w:val="auto"/>
        </w:rPr>
        <w:t>Second Lien Loan Agreement</w:t>
      </w:r>
      <w:r>
        <w:rPr>
          <w:rFonts w:ascii="Times New Roman" w:cs="Times New Roman" w:eastAsia="Times New Roman" w:hAnsi="Times New Roman"/>
          <w:sz w:val="17"/>
          <w:szCs w:val="17"/>
          <w:color w:val="auto"/>
        </w:rPr>
        <w:t>”) by and among Ares Agent as Collateral Agent and Lender Representative, AAC II as a Lender, the other Lenders from time-to-time parties thereto, and Borrower as Borrower. Capitalized terms used but not otherwise defined in this Acknowledgment and Agreement have the meanings given to such terms in the Second Lien Loan Agreement.</w:t>
      </w:r>
    </w:p>
    <w:p>
      <w:pPr>
        <w:spacing w:after="0" w:line="168"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Reference is made to that certain Amended and Restated Subscription Agreement, dated September 15, 2025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entered into by and between Ares Acquisition Corporation II and the investor party thereto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whereby Investor agreed to subscribe for and purchase (following the Domestication (as defined in the Subscription Agreement)) certain shares of 9.99% Series A Cumulative Convertible Preferred Stock and warrants to purchase a number of shares of Common Stock (as defined in the Subscription Agreement).</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Second Lien Loan Agreement, including the definition of “Conversion Price” set forth in the Second Lien Loan Agreement and in connection with the transactions contemplated by the Subscription Agreement, the Parties acknowledge and agree that, as of the date of this Acknowledgment and Agreement, the Conversion Price in connection with a conversion where the transactions contemplated by the Subscription Agreement close shall be $6.00. For the avoidance of doubt, the Loans will convert to common stock of the Surviving Corporation, and there shall be no warrants issued to investors in connection with such conversion.</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Section 12.1, 12.2, 12.3, 12.4, 12.5, 12.7, 12.8 and 14 of the Second Lien Loan Agreement shall apply to this Acknowledgment and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Acknowledgment and Agreement as of the date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Don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 Burnette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ARES AGENT SERVICES, L.P. ,</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Agent Services GP LLC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Griffin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Thomas Griffin III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LENDER REPRESENTATIVE: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ARES AGENT SERVICES, L.P.,</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Lender Representative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Agent Services GP LLC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Griffin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Thomas Griffin III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LENDER: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AAC II HOLDINGS II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to Acknowledgment and Agreement]</w:t>
      </w:r>
    </w:p>
    <w:p>
      <w:pPr>
        <w:sectPr>
          <w:pgSz w:w="11900" w:h="16838" w:orient="portrait"/>
          <w:cols w:equalWidth="0" w:num="1">
            <w:col w:w="10019"/>
          </w:cols>
          <w:pgMar w:left="440" w:top="270"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08685" cy="8655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8685" cy="86550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602615</wp:posOffset>
            </wp:positionV>
            <wp:extent cx="2957195" cy="436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571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Kodiak and Ares Acquisition Corporation II Announce $145 Million Investment to Support Proposed Business Combination </w:t>
      </w:r>
      <w:r>
        <w:rPr>
          <w:rFonts w:ascii="Times New Roman" w:cs="Times New Roman" w:eastAsia="Times New Roman" w:hAnsi="Times New Roman"/>
          <w:sz w:val="18"/>
          <w:szCs w:val="18"/>
          <w:i w:val="1"/>
          <w:iCs w:val="1"/>
          <w:color w:val="auto"/>
        </w:rPr>
        <w:t>Institutional Investors Have Funded or Committed Over $220 Million in Financing in Total Extraordinary General Meeting of Shareholders Remains Scheduled for September 23, 2025</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MOUNTAIN VIEW, Calif. and NEW YORK (September 15, 2025) </w:t>
      </w:r>
      <w:r>
        <w:rPr>
          <w:rFonts w:ascii="Times New Roman" w:cs="Times New Roman" w:eastAsia="Times New Roman" w:hAnsi="Times New Roman"/>
          <w:sz w:val="18"/>
          <w:szCs w:val="18"/>
          <w:color w:val="auto"/>
        </w:rPr>
        <w:t>— Kodiak Robotics, Inc. (“Kodiak” or the “Company”),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AI-powered autonomous vehicle technology, and Ares Acquisition Corporation II (NYSE: AACT) (“AACT”), a publicly traded special purpose acquisition company, today announced a $145 million PIPE commitment of convertible preferred stock and common stock warrants to AACT from institutional accredited investors to support the previously announced proposed business combination (the “proposed business combination”) between AACT and Kodiak. One such investor had previously committed to providing $50 million of support for AACT’s previously announced common stock PIPE investment, and such commitment was amended and restated in the form of a subscription agreement for the convertible preferred stock and common stock warrant investment.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date, certain institutional investors have invested or committed an aggregate of over $220 million in financing to Kodiak and AACT since the announcement of the proposed business combination. In addition, the combined company will receive the cash remaining in AACT’s trust account at closing after any redemptions by AACT shareholders at the upcoming AACT extraordinary general meeting. As of August 18, 2025, there was approximately $562 million of cash held in AACT’s trust account at closing, which does not account for any such redemptions of existing AACT shares or any transaction expenses. Kodiak and AACT may opportunistically seek additional capital in connection with the consummation of the proposed business combination to provide additional support for Kodiak’s operating plan.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these additional investments underscore our investors’ confidence in the value proposition of Kodiak’s safe and commercially-deployed autonomous technology,” said Don Burnette, Founder and Chief Executive Officer of Kodiak. “As we continue to make progress toward completing our proposed business combination with AACT and bringing Kodiak to the public markets, our entire team remains focused on executing our strategy to scale our business and accelerate our growth. We look forward to leading the advancement of the commercial trucking and public sector industries and delivering on the exciting value creation opportunities ahead to the benefit of customers and shareholders.”</w:t>
      </w:r>
    </w:p>
    <w:p>
      <w:pPr>
        <w:sectPr>
          <w:pgSz w:w="11900" w:h="16838" w:orient="portrait"/>
          <w:cols w:equalWidth="0" w:num="1">
            <w:col w:w="11020"/>
          </w:cols>
          <w:pgMar w:left="440" w:top="117" w:right="439" w:bottom="1440" w:gutter="0" w:footer="0" w:header="0"/>
        </w:sectPr>
      </w:pPr>
    </w:p>
    <w:bookmarkStart w:id="125" w:name="page126"/>
    <w:bookmarkEnd w:id="12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42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942975"/>
                    </a:xfrm>
                    <a:prstGeom prst="rect">
                      <a:avLst/>
                    </a:prstGeom>
                    <a:noFill/>
                  </pic:spPr>
                </pic:pic>
              </a:graphicData>
            </a:graphic>
          </wp:anchor>
        </w:drawing>
      </w:r>
    </w:p>
    <w:p>
      <w:pPr>
        <w:ind w:right="140"/>
        <w:spacing w:after="0" w:line="261" w:lineRule="auto"/>
        <w:rPr>
          <w:sz w:val="20"/>
          <w:szCs w:val="20"/>
          <w:color w:val="auto"/>
        </w:rPr>
      </w:pPr>
      <w:r>
        <w:rPr>
          <w:rFonts w:ascii="Times New Roman" w:cs="Times New Roman" w:eastAsia="Times New Roman" w:hAnsi="Times New Roman"/>
          <w:sz w:val="18"/>
          <w:szCs w:val="18"/>
          <w:color w:val="auto"/>
        </w:rPr>
        <w:t>“Kodiak continues to differentiate itself as an industry leader in a significant addressable market, and this latest announcement further reinforces our excitement for its launch as a publicly-traded company,” said Allyson Satin, Chief Operating Officer of AACT and Partner at Ares. “Don and his team have demonstrated the long-term potential for Kodiak’s AI-driven technology, and we look forward to continuing to support the company through its next chapter.”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extraordinary general meeting of shareholders (the “Extraordinary General Meeting”) to approve the proposed business combination is scheduled to be held on September 23, 2025 at 9:00 a.m. Eastern Time. The Extraordinary General Meeting will be held in person at the offices Kirkland &amp; Ellis LLP located at 601 Lexington Avenue, New York, New York 10022 and virtually via live webcast at https://www.cstproxy.com/aresacquisitioncorporationii/egm2025. Holders of AACT’s ordinary shares at the close of business on the record date of August 20, 2025, are entitled to notice of the Extraordinary General Meeting and to vote at the Extraordinary General Meeting. AACT and Kodiak filed the definitive proxy statement/prospectus relating to the proposed business combination and AACT began mailing it to shareholders as of the record date on or about Friday August 29, 2025. More details about the proposed business combination and the resolutions to be voted upon at the Extraordinary General Meeting can be found in the definitive proxy statement/prospectus filed by AACT, available at: http://www.sec.gov.</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Assuming satisfaction of the conditions to the closing of the proposed business combination, including approval of the proposed business combination by AACT’s shareholders, the post-proposed business combination company intends to list its common stock and public warrants on The Nasdaq Stock Market (“Nasdaq”) under the proposed symbols “KDK” and “KDKRW,” respectively. The Nasdaq listing is subject to the closing of the proposed business combination and fulfillment of all Nasdaq listing requirements.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Every vote is important and AACT encourages all shareholders to make their voices heard by authorizing their proxy online or by mail as soon as possible, regardless of the number of shares held. AACT shareholders who need assistance in completing the proxy card, need additional copies of the proxy statement/prospectus, or have questions regarding the Extraordinary General Meeting may contact AACT’s proxy solicitor, Sodali &amp; Co, by calling (800) 662-5200 (toll free) or banks and brokers can call (203) 658-9400, or by e-mailing AACT.info@investor.sodali.com.</w:t>
      </w:r>
    </w:p>
    <w:p>
      <w:pPr>
        <w:sectPr>
          <w:pgSz w:w="11900" w:h="16838" w:orient="portrait"/>
          <w:cols w:equalWidth="0" w:num="1">
            <w:col w:w="10980"/>
          </w:cols>
          <w:pgMar w:left="440" w:top="1440" w:right="479" w:bottom="1440" w:gutter="0" w:footer="0" w:header="0"/>
        </w:sectPr>
      </w:pPr>
    </w:p>
    <w:bookmarkStart w:id="126" w:name="page127"/>
    <w:bookmarkEnd w:id="126"/>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01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9601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Kodiak Robotics, Inc.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Kodiak Robotics, Inc. was founded in 2018 and is a leading provider of AI-powered autonomous vehicle technology that is designed to help tackle some of the toughest driving jobs. Kodiak’s driverless solution can help address the critical problem of safely transporting goods in the face of unprecedented supply chain challenges. Kodiak’s vision is to become the trusted world leader in autonomous ground transportation. Kodiak is committed to a safer and more efficient future for all through the commercialization of driverless trucking at scale. To that end, Kodiak developed the Kodiak Driver, a virtual driver that combines advanced AI-powered software with modular and vehicle-agnostic hardware designed to help address Kodiak’s customers’ needs. The Kodiak Driver is not just an idea-it is operating without a human driver today. Kodiak serves customers in both commercial trucking and the public sector. In 2024, Kodiak believes it achieved a historic milestone by becoming the first company to deploy customer-owned and -operated driverless trucks in commercial service. The Kodiak Driver is also being utilized in the public sector, where Kodiak believes it can support national security initiatives and critical government applications.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Ares Acquisition Corporation II</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Ares Acquisition Corporation II (NYSE: AACT) is a special purpose acquisition company affiliated with Ares Management Corporation, formed for the purpose of effecting a merger, share exchange, asset acquisition, share purchase, reorganization or similar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and AACT’s expectations with respect to the future performance and the success of the combined company following the consummation of the proposed business combination (the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expectations regarding the completion of the convertible preferred stock and warrant investment, the proposed business combination and the combined company being listed on Nasdaq following completion of the proposed business combination; and the expected benefits of the proposed business combination. These statements are based on various assumptions, whether or not identified in this press release, and on the current expectations of Kodiak’s and AACT’s management and are not predictions of actual performance. These forward-looking statements are provided for</w:t>
      </w:r>
    </w:p>
    <w:p>
      <w:pPr>
        <w:sectPr>
          <w:pgSz w:w="11900" w:h="16838" w:orient="portrait"/>
          <w:cols w:equalWidth="0" w:num="1">
            <w:col w:w="11000"/>
          </w:cols>
          <w:pgMar w:left="440" w:top="1440" w:right="459" w:bottom="1440" w:gutter="0" w:footer="0" w:header="0"/>
        </w:sectPr>
      </w:pPr>
    </w:p>
    <w:bookmarkStart w:id="127" w:name="page128"/>
    <w:bookmarkEnd w:id="12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42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94297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Kodiak or AACT is not obtained; failure to realize the anticipated benefits of the proposed business combination;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the amount of redemption requests made by AACT’s public equity holders; AACT’s ability to consummate the expected private placement of equity securities in connection with the consummation of the proposed business combination; and the ability of AACT or the combined company to issue equity or equity-linked securities in connection with the proposed business combination or in the future. Additional information concerning these and other factors that may impact such forward-looking statements can be found in filings and potential filings by Kodiak, AACT or the combined company resulting from the proposed business combination with the Securities and Exchange Commission (the “SEC”), including under the heading “Risk Factors.” If any of these risks materialize or any assumptions prove incorrect, actual results could differ materially from the results implied by these forward-looking statements. There may be additional risks that neither Kodiak nor AACT presently know or 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forward-looking statements reflect Kodiak’s and AACT’s expectations, plans or forecasts of future events and views as of the date they are made. Kodiak and AACT anticipate that subsequent events and developments will cause Kodiak’s and AACT’s assessments to change. However, while Kodiak and AACT may elect to update these forward-looking statements at some point in the future, Kodiak and AACT specifically</w:t>
      </w:r>
    </w:p>
    <w:p>
      <w:pPr>
        <w:sectPr>
          <w:pgSz w:w="11900" w:h="16838" w:orient="portrait"/>
          <w:cols w:equalWidth="0" w:num="1">
            <w:col w:w="11000"/>
          </w:cols>
          <w:pgMar w:left="440" w:top="1440" w:right="459" w:bottom="1440" w:gutter="0" w:footer="0" w:header="0"/>
        </w:sectPr>
      </w:pPr>
    </w:p>
    <w:bookmarkStart w:id="128" w:name="page129"/>
    <w:bookmarkEnd w:id="12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42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94297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disclaim any obligation to do so, except as required by law. These forward-looking statements should not be relied upon as representing Kodiak’s or AACT’s assessments as of any date subsequent to the date they are made. Accordingly, undue reliance should not be placed upon the forward-looking statements. Neither Kodiak, AACT, nor any of their respective affiliates have any obligation to update these forward-looking statements other than as required by law. In addition, this press release contains certain information about the historical performance of Kodiak. You should not view information related to the past performance of Kodiak as indicative of future results. Certain information set forth in this press release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business combination, AACT and Kodiak filed a registration statement on Form S-4 (File No. 333- 287278) (the “Registration Statement”), which includes a prospectus with respect to the combined company’s securities to be issued in connection with the proposed business combination and a proxy statement with respect to the shareholder meeting of AACT to vote on the proposed business combination. The Registration Statement has been declared effective by the SEC and AACT has mailed a definitive proxy statement/prospectus and other relevant documents to its shareholders. The Registration Statement includes information regarding the persons who may, under the SEC rules, be deemed participants in the solicitation of proxies to AACT’s shareholders in connection with the proposed business combination. AACT has filed and will file other documents regarding the proposed business combination with the SEC. SECURITY HOLDERS OF KODIAK AND AACT ARE URGED TO READ THE PROXY STATEMENT/PROSPECTUS (INCLUDING ALL AMENDMENTS AND SUPPLEMENTS THERETO) AND OTHER DOCUMENTS AND RELEVANT MATERIALS RELATING TO THE PROPOSED BUSINESS COMBINATION THAT HAVE AND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Kodiak and AACT once such documents are filed with the SEC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the documents filed by AACT may be obtained free of charge from AACT at </w:t>
      </w:r>
      <w:r>
        <w:rPr>
          <w:rFonts w:ascii="Times New Roman" w:cs="Times New Roman" w:eastAsia="Times New Roman" w:hAnsi="Times New Roman"/>
          <w:sz w:val="18"/>
          <w:szCs w:val="18"/>
          <w:u w:val="single" w:color="auto"/>
          <w:color w:val="auto"/>
        </w:rPr>
        <w:t>www.aresacquisitioncorporationii.com</w:t>
      </w:r>
      <w:r>
        <w:rPr>
          <w:rFonts w:ascii="Times New Roman" w:cs="Times New Roman" w:eastAsia="Times New Roman" w:hAnsi="Times New Roman"/>
          <w:sz w:val="18"/>
          <w:szCs w:val="18"/>
          <w:color w:val="auto"/>
        </w:rPr>
        <w:t>. Alternatively, these documents, when available, can be obtained free of charge from AACT upon written request to Ares Acquisition Corporation II, 245 Park Avenue, 44th Floor, New York, NY 10167, Attn: Secretary, or by calling (888) 818-5298. The information contained on, or that may be accessed through the websites referenced in this press release is not incorporated by reference into, and is not a part of, this press release.</w:t>
      </w:r>
    </w:p>
    <w:p>
      <w:pPr>
        <w:sectPr>
          <w:pgSz w:w="11900" w:h="16838" w:orient="portrait"/>
          <w:cols w:equalWidth="0" w:num="1">
            <w:col w:w="11000"/>
          </w:cols>
          <w:pgMar w:left="440" w:top="1440" w:right="459" w:bottom="1440" w:gutter="0" w:footer="0" w:header="0"/>
        </w:sectPr>
      </w:pPr>
    </w:p>
    <w:bookmarkStart w:id="129" w:name="page130"/>
    <w:bookmarkEnd w:id="12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42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942975"/>
                    </a:xfrm>
                    <a:prstGeom prst="rect">
                      <a:avLst/>
                    </a:prstGeom>
                    <a:noFill/>
                  </pic:spPr>
                </pic:pic>
              </a:graphicData>
            </a:graphic>
          </wp:anchor>
        </w:drawing>
      </w: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Investors and security holders can obtain free copies of the Registration Statement, the definitive proxy statement/prospectus and all other relevant documents filed or that will be filed with the SEC by AACT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the documents filed by AACT may be obtained free of charge from AACT’s website at </w:t>
      </w:r>
      <w:r>
        <w:rPr>
          <w:rFonts w:ascii="Times New Roman" w:cs="Times New Roman" w:eastAsia="Times New Roman" w:hAnsi="Times New Roman"/>
          <w:sz w:val="18"/>
          <w:szCs w:val="18"/>
          <w:u w:val="single" w:color="auto"/>
          <w:color w:val="auto"/>
        </w:rPr>
        <w:t>www.aresacquisitioncorporationii.com</w:t>
      </w:r>
      <w:r>
        <w:rPr>
          <w:rFonts w:ascii="Times New Roman" w:cs="Times New Roman" w:eastAsia="Times New Roman" w:hAnsi="Times New Roman"/>
          <w:sz w:val="18"/>
          <w:szCs w:val="18"/>
          <w:color w:val="auto"/>
        </w:rPr>
        <w:t xml:space="preserve"> or by written request to AACT at Ares Acquisition Corporation II, 245 Park Avenue, 44th Floor, New York, NY 10167.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AACT,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definitive proxy statement/prospectus filed with the SEC on August 29, 2025,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definitive proxy statement/prospectus.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shall not constitute a solicitation of any proxy, vote, consent or approval in any jurisdiction in connection with the proposed business combination and shall not constitute an offer to sell or a solicitation of an offer to buy the securities of AACT,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 This press release is restricted by law; it is not intended for distribution to, or use by any person in, any jurisdiction in where such distribution or use would be contrary to local law or regulation.</w:t>
      </w:r>
    </w:p>
    <w:p>
      <w:pPr>
        <w:sectPr>
          <w:pgSz w:w="11900" w:h="16838" w:orient="portrait"/>
          <w:cols w:equalWidth="0" w:num="1">
            <w:col w:w="10980"/>
          </w:cols>
          <w:pgMar w:left="440" w:top="1440" w:right="479" w:bottom="1440" w:gutter="0" w:footer="0" w:header="0"/>
        </w:sectPr>
      </w:pPr>
    </w:p>
    <w:bookmarkStart w:id="130" w:name="page131"/>
    <w:bookmarkEnd w:id="130"/>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01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9601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Goff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External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+1 646-515-3933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dan@kodiak.ai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Consultant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+1 310-415-9188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stacy.morris@futuristacommunications.com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Sloane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for Kodiak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Lauren@blueshirtgroup.com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Silber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media@aresmgmt.com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Mason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+1 888-818-5298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ir@aresacquisitioncorporationii.com</w:t>
      </w: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lowerRoman"/>
      <w:start w:val="2"/>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1)"/>
      <w:numFmt w:val="lowerRoman"/>
      <w:start w:val="4"/>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1)"/>
      <w:numFmt w:val="decimal"/>
      <w:start w:val="1"/>
    </w:lvl>
  </w:abstractNum>
  <w:abstractNum w:abstractNumId="8">
    <w:nsid w:val="613EFDC5"/>
    <w:multiLevelType w:val="hybridMultilevel"/>
    <w:lvl w:ilvl="0">
      <w:lvlJc w:val="left"/>
      <w:lvlText w:val="(%1)"/>
      <w:numFmt w:val="decimal"/>
      <w:start w:val="8"/>
    </w:lvl>
  </w:abstractNum>
  <w:abstractNum w:abstractNumId="9">
    <w:nsid w:val="BF72B14"/>
    <w:multiLevelType w:val="hybridMultilevel"/>
    <w:lvl w:ilvl="0">
      <w:lvlJc w:val="left"/>
      <w:lvlText w:val="(%1)"/>
      <w:numFmt w:val="lowerLetter"/>
      <w:start w:val="4"/>
    </w:lvl>
  </w:abstractNum>
  <w:abstractNum w:abstractNumId="10">
    <w:nsid w:val="11447B73"/>
    <w:multiLevelType w:val="hybridMultilevel"/>
    <w:lvl w:ilvl="0">
      <w:lvlJc w:val="left"/>
      <w:lvlText w:val=" "/>
      <w:numFmt w:val="bullet"/>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1)"/>
      <w:numFmt w:val="lowerRoman"/>
      <w:start w:val="2"/>
    </w:lvl>
  </w:abstractNum>
  <w:abstractNum w:abstractNumId="13">
    <w:nsid w:val="8F2B15E"/>
    <w:multiLevelType w:val="hybridMultilevel"/>
    <w:lvl w:ilvl="0">
      <w:lvlJc w:val="left"/>
      <w:lvlText w:val="(%1)"/>
      <w:numFmt w:val="lowerRoman"/>
      <w:start w:val="1"/>
    </w:lvl>
  </w:abstractNum>
  <w:abstractNum w:abstractNumId="14">
    <w:nsid w:val="1A32234B"/>
    <w:multiLevelType w:val="hybridMultilevel"/>
    <w:lvl w:ilvl="0">
      <w:lvlJc w:val="left"/>
      <w:lvlText w:val="1"/>
      <w:numFmt w:val="bullet"/>
      <w:start w:val="1"/>
    </w:lvl>
  </w:abstractNum>
  <w:abstractNum w:abstractNumId="15">
    <w:nsid w:val="3B0FD379"/>
    <w:multiLevelType w:val="hybridMultilevel"/>
    <w:lvl w:ilvl="0">
      <w:lvlJc w:val="left"/>
      <w:lvlText w:val="(%1)"/>
      <w:numFmt w:val="lowerLetter"/>
      <w:start w:val="1"/>
    </w:lvl>
  </w:abstractNum>
  <w:abstractNum w:abstractNumId="16">
    <w:nsid w:val="68EB2F63"/>
    <w:multiLevelType w:val="hybridMultilevel"/>
    <w:lvl w:ilvl="0">
      <w:lvlJc w:val="left"/>
      <w:lvlText w:val="%1"/>
      <w:numFmt w:val="decimal"/>
      <w:start w:val="1"/>
    </w:lvl>
    <w:lvl w:ilvl="1">
      <w:lvlJc w:val="left"/>
      <w:lvlText w:val="(%2)"/>
      <w:numFmt w:val="lowerLetter"/>
      <w:start w:val="1"/>
    </w:lvl>
  </w:abstractNum>
  <w:abstractNum w:abstractNumId="17">
    <w:nsid w:val="4962813B"/>
    <w:multiLevelType w:val="hybridMultilevel"/>
    <w:lvl w:ilvl="0">
      <w:lvlJc w:val="left"/>
      <w:lvlText w:val="(%1)"/>
      <w:numFmt w:val="decimal"/>
      <w:start w:val="2"/>
    </w:lvl>
    <w:lvl w:ilvl="1">
      <w:lvlJc w:val="left"/>
      <w:lvlText w:val="%2"/>
      <w:numFmt w:val="lowerLetter"/>
      <w:start w:val="1"/>
    </w:lvl>
  </w:abstractNum>
  <w:abstractNum w:abstractNumId="18">
    <w:nsid w:val="60B6DF70"/>
    <w:multiLevelType w:val="hybridMultilevel"/>
    <w:lvl w:ilvl="0">
      <w:lvlJc w:val="left"/>
      <w:lvlText w:val="(%1)"/>
      <w:numFmt w:val="lowerLetter"/>
      <w:start w:val="3"/>
    </w:lvl>
  </w:abstractNum>
  <w:abstractNum w:abstractNumId="19">
    <w:nsid w:val="6A5EE64"/>
    <w:multiLevelType w:val="hybridMultilevel"/>
    <w:lvl w:ilvl="0">
      <w:lvlJc w:val="left"/>
      <w:lvlText w:val="(%1)"/>
      <w:numFmt w:val="lowerLetter"/>
      <w:start w:val="1"/>
    </w:lvl>
    <w:lvl w:ilvl="1">
      <w:lvlJc w:val="left"/>
      <w:lvlText w:val="(%2)"/>
      <w:numFmt w:val="lowerRoman"/>
      <w:start w:val="1"/>
    </w:lvl>
  </w:abstractNum>
  <w:abstractNum w:abstractNumId="20">
    <w:nsid w:val="14330624"/>
    <w:multiLevelType w:val="hybridMultilevel"/>
    <w:lvl w:ilvl="0">
      <w:lvlJc w:val="left"/>
      <w:lvlText w:val="(%1)"/>
      <w:numFmt w:val="lowerRoman"/>
      <w:start w:val="4"/>
    </w:lvl>
  </w:abstractNum>
  <w:abstractNum w:abstractNumId="21">
    <w:nsid w:val="7FFFCA11"/>
    <w:multiLevelType w:val="hybridMultilevel"/>
    <w:lvl w:ilvl="0">
      <w:lvlJc w:val="left"/>
      <w:lvlText w:val="(%1)"/>
      <w:numFmt w:val="lowerLetter"/>
      <w:start w:val="1"/>
    </w:lvl>
    <w:lvl w:ilvl="1">
      <w:lvlJc w:val="left"/>
      <w:lvlText w:val="(%2)"/>
      <w:numFmt w:val="lowerLetter"/>
      <w:start w:val="9"/>
    </w:lvl>
  </w:abstractNum>
  <w:abstractNum w:abstractNumId="22">
    <w:nsid w:val="1A27709E"/>
    <w:multiLevelType w:val="hybridMultilevel"/>
    <w:lvl w:ilvl="0">
      <w:lvlJc w:val="left"/>
      <w:lvlText w:val="%1"/>
      <w:numFmt w:val="lowerLetter"/>
      <w:start w:val="1"/>
    </w:lvl>
    <w:lvl w:ilvl="1">
      <w:lvlJc w:val="left"/>
      <w:lvlText w:val="(%2)"/>
      <w:numFmt w:val="lowerLetter"/>
      <w:start w:val="35"/>
    </w:lvl>
  </w:abstractNum>
  <w:abstractNum w:abstractNumId="23">
    <w:nsid w:val="71EA1109"/>
    <w:multiLevelType w:val="hybridMultilevel"/>
    <w:lvl w:ilvl="0">
      <w:lvlJc w:val="left"/>
      <w:lvlText w:val="(%1)"/>
      <w:numFmt w:val="lowerLetter"/>
      <w:start w:val="3"/>
    </w:lvl>
    <w:lvl w:ilvl="1">
      <w:lvlJc w:val="left"/>
      <w:lvlText w:val="(%2)"/>
      <w:numFmt w:val="lowerLetter"/>
      <w:start w:val="9"/>
    </w:lvl>
  </w:abstractNum>
  <w:abstractNum w:abstractNumId="24">
    <w:nsid w:val="100F59DC"/>
    <w:multiLevelType w:val="hybridMultilevel"/>
    <w:lvl w:ilvl="0">
      <w:lvlJc w:val="left"/>
      <w:lvlText w:val="(%1)"/>
      <w:numFmt w:val="lowerRoman"/>
      <w:start w:val="2"/>
    </w:lvl>
  </w:abstractNum>
  <w:abstractNum w:abstractNumId="25">
    <w:nsid w:val="7FB7E0AA"/>
    <w:multiLevelType w:val="hybridMultilevel"/>
    <w:lvl w:ilvl="0">
      <w:lvlJc w:val="left"/>
      <w:lvlText w:val="(%1)"/>
      <w:numFmt w:val="lowerRoman"/>
      <w:start w:val="3"/>
    </w:lvl>
  </w:abstractNum>
  <w:abstractNum w:abstractNumId="26">
    <w:nsid w:val="6EB5BD4"/>
    <w:multiLevelType w:val="hybridMultilevel"/>
    <w:lvl w:ilvl="0">
      <w:lvlJc w:val="left"/>
      <w:lvlText w:val="(%1)"/>
      <w:numFmt w:val="lowerLetter"/>
      <w:start w:val="1"/>
    </w:lvl>
  </w:abstractNum>
  <w:abstractNum w:abstractNumId="27">
    <w:nsid w:val="6F6DD9AC"/>
    <w:multiLevelType w:val="hybridMultilevel"/>
    <w:lvl w:ilvl="0">
      <w:lvlJc w:val="left"/>
      <w:lvlText w:val="(%1)"/>
      <w:numFmt w:val="lowerLetter"/>
      <w:start w:val="2"/>
    </w:lvl>
    <w:lvl w:ilvl="1">
      <w:lvlJc w:val="left"/>
      <w:lvlText w:val="(%2)"/>
      <w:numFmt w:val="lowerLetter"/>
      <w:start w:val="9"/>
    </w:lvl>
  </w:abstractNum>
  <w:abstractNum w:abstractNumId="28">
    <w:nsid w:val="94211F2"/>
    <w:multiLevelType w:val="hybridMultilevel"/>
    <w:lvl w:ilvl="0">
      <w:lvlJc w:val="left"/>
      <w:lvlText w:val="(%1)"/>
      <w:numFmt w:val="lowerRoman"/>
      <w:start w:val="2"/>
    </w:lvl>
  </w:abstractNum>
  <w:abstractNum w:abstractNumId="29">
    <w:nsid w:val="885E1B"/>
    <w:multiLevelType w:val="hybridMultilevel"/>
    <w:lvl w:ilvl="0">
      <w:lvlJc w:val="left"/>
      <w:lvlText w:val="(%1)"/>
      <w:numFmt w:val="lowerRoman"/>
      <w:start w:val="4"/>
    </w:lvl>
  </w:abstractNum>
  <w:abstractNum w:abstractNumId="30">
    <w:nsid w:val="76272110"/>
    <w:multiLevelType w:val="hybridMultilevel"/>
    <w:lvl w:ilvl="0">
      <w:lvlJc w:val="left"/>
      <w:lvlText w:val="(%1)"/>
      <w:numFmt w:val="lowerRoman"/>
      <w:start w:val="5"/>
    </w:lvl>
  </w:abstractNum>
  <w:abstractNum w:abstractNumId="31">
    <w:nsid w:val="4C04A8AF"/>
    <w:multiLevelType w:val="hybridMultilevel"/>
    <w:lvl w:ilvl="0">
      <w:lvlJc w:val="left"/>
      <w:lvlText w:val="(%1)"/>
      <w:numFmt w:val="lowerLetter"/>
      <w:start w:val="4"/>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2"/>
    </w:lvl>
    <w:lvl w:ilvl="1">
      <w:lvlJc w:val="left"/>
      <w:lvlText w:val="(%2)"/>
      <w:numFmt w:val="lowerLetter"/>
      <w:start w:val="9"/>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Roman"/>
      <w:start w:val="2"/>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Roman"/>
      <w:start w:val="3"/>
    </w:lvl>
  </w:abstractNum>
  <w:abstractNum w:abstractNumId="38">
    <w:nsid w:val="46B7D447"/>
    <w:multiLevelType w:val="hybridMultilevel"/>
    <w:lvl w:ilvl="0">
      <w:lvlJc w:val="left"/>
      <w:lvlText w:val="%1"/>
      <w:numFmt w:val="lowerRoman"/>
      <w:start w:val="1"/>
    </w:lvl>
    <w:lvl w:ilvl="1">
      <w:lvlJc w:val="left"/>
      <w:lvlText w:val="%2."/>
      <w:numFmt w:val="lowerLetter"/>
      <w:start w:val="1"/>
    </w:lvl>
  </w:abstractNum>
  <w:abstractNum w:abstractNumId="39">
    <w:nsid w:val="4A2AC315"/>
    <w:multiLevelType w:val="hybridMultilevel"/>
    <w:lvl w:ilvl="0">
      <w:lvlJc w:val="left"/>
      <w:lvlText w:val="(%1)"/>
      <w:numFmt w:val="lowerRoman"/>
      <w:start w:val="4"/>
    </w:lvl>
    <w:lvl w:ilvl="1">
      <w:lvlJc w:val="left"/>
      <w:lvlText w:val="%2"/>
      <w:numFmt w:val="lowerLetter"/>
      <w:start w:val="1"/>
    </w:lvl>
  </w:abstractNum>
  <w:abstractNum w:abstractNumId="40">
    <w:nsid w:val="39EE015C"/>
    <w:multiLevelType w:val="hybridMultilevel"/>
    <w:lvl w:ilvl="0">
      <w:lvlJc w:val="left"/>
      <w:lvlText w:val="%1"/>
      <w:numFmt w:val="lowerLetter"/>
      <w:start w:val="1"/>
    </w:lvl>
    <w:lvl w:ilvl="1">
      <w:lvlJc w:val="left"/>
      <w:lvlText w:val="(%2)"/>
      <w:numFmt w:val="lowerLetter"/>
      <w:start w:val="22"/>
    </w:lvl>
  </w:abstractNum>
  <w:abstractNum w:abstractNumId="41">
    <w:nsid w:val="57FC4FBB"/>
    <w:multiLevelType w:val="hybridMultilevel"/>
    <w:lvl w:ilvl="0">
      <w:lvlJc w:val="left"/>
      <w:lvlText w:val="(%1)"/>
      <w:numFmt w:val="lowerLetter"/>
      <w:start w:val="4"/>
    </w:lvl>
    <w:lvl w:ilvl="1">
      <w:lvlJc w:val="left"/>
      <w:lvlText w:val="%2"/>
      <w:numFmt w:val="lowerLetter"/>
      <w:start w:val="1"/>
    </w:lvl>
  </w:abstractNum>
  <w:abstractNum w:abstractNumId="42">
    <w:nsid w:val="CC1016F"/>
    <w:multiLevelType w:val="hybridMultilevel"/>
    <w:lvl w:ilvl="0">
      <w:lvlJc w:val="left"/>
      <w:lvlText w:val="(%1)"/>
      <w:numFmt w:val="lowerLetter"/>
      <w:start w:val="6"/>
    </w:lvl>
    <w:lvl w:ilvl="1">
      <w:lvlJc w:val="left"/>
      <w:lvlText w:val="(%2)"/>
      <w:numFmt w:val="lowerRoman"/>
      <w:start w:val="4"/>
    </w:lvl>
    <w:lvl w:ilvl="2">
      <w:lvlJc w:val="left"/>
      <w:lvlText w:val="(%3)"/>
      <w:numFmt w:val="lowerLetter"/>
      <w:start w:val="9"/>
    </w:lvl>
  </w:abstractNum>
  <w:abstractNum w:abstractNumId="43">
    <w:nsid w:val="43F18422"/>
    <w:multiLevelType w:val="hybridMultilevel"/>
    <w:lvl w:ilvl="0">
      <w:lvlJc w:val="left"/>
      <w:lvlText w:val="%1"/>
      <w:numFmt w:val="lowerLetter"/>
      <w:start w:val="1"/>
    </w:lvl>
    <w:lvl w:ilvl="1">
      <w:lvlJc w:val="left"/>
      <w:lvlText w:val="(%2)"/>
      <w:numFmt w:val="lowerRoman"/>
      <w:start w:val="2"/>
    </w:lvl>
  </w:abstractNum>
  <w:abstractNum w:abstractNumId="44">
    <w:nsid w:val="60EF0119"/>
    <w:multiLevelType w:val="hybridMultilevel"/>
    <w:lvl w:ilvl="0">
      <w:lvlJc w:val="left"/>
      <w:lvlText w:val="(%1)"/>
      <w:numFmt w:val="lowerLetter"/>
      <w:start w:val="7"/>
    </w:lvl>
    <w:lvl w:ilvl="1">
      <w:lvlJc w:val="left"/>
      <w:lvlText w:val="%2"/>
      <w:numFmt w:val="lowerRoman"/>
      <w:start w:val="1"/>
    </w:lvl>
  </w:abstractNum>
  <w:abstractNum w:abstractNumId="45">
    <w:nsid w:val="26F324BA"/>
    <w:multiLevelType w:val="hybridMultilevel"/>
    <w:lvl w:ilvl="0">
      <w:lvlJc w:val="left"/>
      <w:lvlText w:val="(%1)"/>
      <w:numFmt w:val="lowerLetter"/>
      <w:start w:val="8"/>
    </w:lvl>
    <w:lvl w:ilvl="1">
      <w:lvlJc w:val="left"/>
      <w:lvlText w:val="(%2)"/>
      <w:numFmt w:val="lowerRoman"/>
      <w:start w:val="1"/>
    </w:lvl>
  </w:abstractNum>
  <w:abstractNum w:abstractNumId="46">
    <w:nsid w:val="7F01579B"/>
    <w:multiLevelType w:val="hybridMultilevel"/>
    <w:lvl w:ilvl="0">
      <w:lvlJc w:val="left"/>
      <w:lvlText w:val="(%1)"/>
      <w:numFmt w:val="lowerLetter"/>
      <w:start w:val="1"/>
    </w:lvl>
    <w:lvl w:ilvl="1">
      <w:lvlJc w:val="left"/>
      <w:lvlText w:val="(%2)"/>
      <w:numFmt w:val="lowerRoman"/>
      <w:start w:val="1"/>
    </w:lvl>
  </w:abstractNum>
  <w:abstractNum w:abstractNumId="47">
    <w:nsid w:val="49DA307D"/>
    <w:multiLevelType w:val="hybridMultilevel"/>
    <w:lvl w:ilvl="0">
      <w:lvlJc w:val="left"/>
      <w:lvlText w:val="(%1)"/>
      <w:numFmt w:val="lowerLetter"/>
      <w:start w:val="2"/>
    </w:lvl>
    <w:lvl w:ilvl="1">
      <w:lvlJc w:val="left"/>
      <w:lvlText w:val="(%2)"/>
      <w:numFmt w:val="lowerRoman"/>
      <w:start w:val="1"/>
    </w:lvl>
  </w:abstractNum>
  <w:abstractNum w:abstractNumId="48">
    <w:nsid w:val="7055A5F5"/>
    <w:multiLevelType w:val="hybridMultilevel"/>
    <w:lvl w:ilvl="0">
      <w:lvlJc w:val="left"/>
      <w:lvlText w:val="%1"/>
      <w:numFmt w:val="lowerRoman"/>
      <w:start w:val="1"/>
    </w:lvl>
    <w:lvl w:ilvl="1">
      <w:lvlJc w:val="left"/>
      <w:lvlText w:val="%2."/>
      <w:numFmt w:val="lowerLetter"/>
      <w:start w:val="1"/>
    </w:lvl>
  </w:abstractNum>
  <w:abstractNum w:abstractNumId="49">
    <w:nsid w:val="5FB8370B"/>
    <w:multiLevelType w:val="hybridMultilevel"/>
    <w:lvl w:ilvl="0">
      <w:lvlJc w:val="left"/>
      <w:lvlText w:val="(%1)"/>
      <w:numFmt w:val="lowerRoman"/>
      <w:start w:val="3"/>
    </w:lvl>
    <w:lvl w:ilvl="1">
      <w:lvlJc w:val="left"/>
      <w:lvlText w:val="%2"/>
      <w:numFmt w:val="lowerLetter"/>
      <w:start w:val="1"/>
    </w:lvl>
  </w:abstractNum>
  <w:abstractNum w:abstractNumId="50">
    <w:nsid w:val="50801EE1"/>
    <w:multiLevelType w:val="hybridMultilevel"/>
    <w:lvl w:ilvl="0">
      <w:lvlJc w:val="left"/>
      <w:lvlText w:val="(%1)"/>
      <w:numFmt w:val="lowerLetter"/>
      <w:start w:val="3"/>
    </w:lvl>
  </w:abstractNum>
  <w:abstractNum w:abstractNumId="51">
    <w:nsid w:val="488AC1A"/>
    <w:multiLevelType w:val="hybridMultilevel"/>
    <w:lvl w:ilvl="0">
      <w:lvlJc w:val="left"/>
      <w:lvlText w:val="%1"/>
      <w:numFmt w:val="lowerLetter"/>
      <w:start w:val="1"/>
    </w:lvl>
    <w:lvl w:ilvl="1">
      <w:lvlJc w:val="left"/>
      <w:lvlText w:val="(%2)"/>
      <w:numFmt w:val="lowerLetter"/>
      <w:start w:val="1"/>
    </w:lvl>
  </w:abstractNum>
  <w:abstractNum w:abstractNumId="52">
    <w:nsid w:val="5FB8011C"/>
    <w:multiLevelType w:val="hybridMultilevel"/>
    <w:lvl w:ilvl="0">
      <w:lvlJc w:val="left"/>
      <w:lvlText w:val="(%1)"/>
      <w:numFmt w:val="lowerLetter"/>
      <w:start w:val="61"/>
    </w:lvl>
    <w:lvl w:ilvl="1">
      <w:lvlJc w:val="left"/>
      <w:lvlText w:val="(%2)"/>
      <w:numFmt w:val="lowerLetter"/>
      <w:start w:val="2"/>
    </w:lvl>
  </w:abstractNum>
  <w:abstractNum w:abstractNumId="53">
    <w:nsid w:val="6AA78F7F"/>
    <w:multiLevelType w:val="hybridMultilevel"/>
    <w:lvl w:ilvl="0">
      <w:lvlJc w:val="left"/>
      <w:lvlText w:val="(%1)"/>
      <w:numFmt w:val="lowerLetter"/>
      <w:start w:val="3"/>
    </w:lvl>
  </w:abstractNum>
  <w:abstractNum w:abstractNumId="54">
    <w:nsid w:val="7672BD23"/>
    <w:multiLevelType w:val="hybridMultilevel"/>
    <w:lvl w:ilvl="0">
      <w:lvlJc w:val="left"/>
      <w:lvlText w:val="(%1)"/>
      <w:numFmt w:val="lowerLetter"/>
      <w:start w:val="6"/>
    </w:lvl>
  </w:abstractNum>
  <w:abstractNum w:abstractNumId="55">
    <w:nsid w:val="6FC75AF8"/>
    <w:multiLevelType w:val="hybridMultilevel"/>
    <w:lvl w:ilvl="0">
      <w:lvlJc w:val="left"/>
      <w:lvlText w:val="(%1)"/>
      <w:numFmt w:val="lowerLetter"/>
      <w:start w:val="12"/>
    </w:lvl>
  </w:abstractNum>
  <w:abstractNum w:abstractNumId="56">
    <w:nsid w:val="6A5F7029"/>
    <w:multiLevelType w:val="hybridMultilevel"/>
    <w:lvl w:ilvl="0">
      <w:lvlJc w:val="left"/>
      <w:lvlText w:val=" "/>
      <w:numFmt w:val="bullet"/>
      <w:start w:val="1"/>
    </w:lvl>
  </w:abstractNum>
  <w:abstractNum w:abstractNumId="57">
    <w:nsid w:val="7D5E18F8"/>
    <w:multiLevelType w:val="hybridMultilevel"/>
    <w:lvl w:ilvl="0">
      <w:lvlJc w:val="left"/>
      <w:lvlText w:val=" "/>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decimal"/>
      <w:start w:val="1"/>
    </w:lvl>
    <w:lvl w:ilvl="1">
      <w:lvlJc w:val="left"/>
      <w:lvlText w:val="%2"/>
      <w:numFmt w:val="lowerLetter"/>
      <w:start w:val="1"/>
    </w:lvl>
  </w:abstractNum>
  <w:abstractNum w:abstractNumId="60">
    <w:nsid w:val="7DE67713"/>
    <w:multiLevelType w:val="hybridMultilevel"/>
    <w:lvl w:ilvl="0">
      <w:lvlJc w:val="left"/>
      <w:lvlText w:val="(%1)"/>
      <w:numFmt w:val="lowerRoman"/>
      <w:start w:val="1"/>
    </w:lvl>
  </w:abstractNum>
  <w:abstractNum w:abstractNumId="61">
    <w:nsid w:val="555C55B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2">
    <w:nsid w:val="3FA62ACA"/>
    <w:multiLevelType w:val="hybridMultilevel"/>
    <w:lvl w:ilvl="0">
      <w:lvlJc w:val="left"/>
      <w:lvlText w:val="%1"/>
      <w:numFmt w:val="lowerLetter"/>
      <w:start w:val="1"/>
    </w:lvl>
    <w:lvl w:ilvl="1">
      <w:lvlJc w:val="left"/>
      <w:lvlText w:val="(%2)"/>
      <w:numFmt w:val="lowerRoman"/>
      <w:start w:val="3"/>
    </w:lvl>
  </w:abstractNum>
  <w:abstractNum w:abstractNumId="63">
    <w:nsid w:val="14FCE74E"/>
    <w:multiLevelType w:val="hybridMultilevel"/>
    <w:lvl w:ilvl="0">
      <w:lvlJc w:val="left"/>
      <w:lvlText w:val="%1."/>
      <w:numFmt w:val="lowerLetter"/>
      <w:start w:val="2"/>
    </w:lvl>
    <w:lvl w:ilvl="1">
      <w:lvlJc w:val="left"/>
      <w:lvlText w:val="(%2)"/>
      <w:numFmt w:val="lowerRoman"/>
      <w:start w:val="1"/>
    </w:lvl>
  </w:abstractNum>
  <w:abstractNum w:abstractNumId="64">
    <w:nsid w:val="6A3DD3E8"/>
    <w:multiLevelType w:val="hybridMultilevel"/>
    <w:lvl w:ilvl="0">
      <w:lvlJc w:val="left"/>
      <w:lvlText w:val="%1."/>
      <w:numFmt w:val="decimal"/>
      <w:start w:val="4"/>
    </w:lvl>
    <w:lvl w:ilvl="1">
      <w:lvlJc w:val="left"/>
      <w:lvlText w:val="%2."/>
      <w:numFmt w:val="lowerLetter"/>
      <w:start w:val="1"/>
    </w:lvl>
  </w:abstractNum>
  <w:abstractNum w:abstractNumId="65">
    <w:nsid w:val="71C91298"/>
    <w:multiLevelType w:val="hybridMultilevel"/>
    <w:lvl w:ilvl="0">
      <w:lvlJc w:val="left"/>
      <w:lvlText w:val="(%1)"/>
      <w:numFmt w:val="lowerRoman"/>
      <w:start w:val="3"/>
    </w:lvl>
    <w:lvl w:ilvl="1">
      <w:lvlJc w:val="left"/>
      <w:lvlText w:val="%2."/>
      <w:numFmt w:val="lowerLetter"/>
      <w:start w:val="7"/>
    </w:lvl>
  </w:abstractNum>
  <w:abstractNum w:abstractNumId="66">
    <w:nsid w:val="9DAF632"/>
    <w:multiLevelType w:val="hybridMultilevel"/>
    <w:lvl w:ilvl="0">
      <w:lvlJc w:val="left"/>
      <w:lvlText w:val="(%1)"/>
      <w:numFmt w:val="lowerRoman"/>
      <w:start w:val="3"/>
    </w:lvl>
    <w:lvl w:ilvl="1">
      <w:lvlJc w:val="left"/>
      <w:lvlText w:val="%2."/>
      <w:numFmt w:val="lowerLetter"/>
      <w:start w:val="12"/>
    </w:lvl>
  </w:abstractNum>
  <w:abstractNum w:abstractNumId="67">
    <w:nsid w:val="53299938"/>
    <w:multiLevelType w:val="hybridMultilevel"/>
    <w:lvl w:ilvl="0">
      <w:lvlJc w:val="left"/>
      <w:lvlText w:val="(%1)"/>
      <w:numFmt w:val="lowerRoman"/>
      <w:start w:val="2"/>
    </w:lvl>
    <w:lvl w:ilvl="1">
      <w:lvlJc w:val="left"/>
      <w:lvlText w:val="%2"/>
      <w:numFmt w:val="lowerLetter"/>
      <w:start w:val="1"/>
    </w:lvl>
  </w:abstractNum>
  <w:abstractNum w:abstractNumId="68">
    <w:nsid w:val="1FBFE8E0"/>
    <w:multiLevelType w:val="hybridMultilevel"/>
    <w:lvl w:ilvl="0">
      <w:lvlJc w:val="left"/>
      <w:lvlText w:val="(%1)"/>
      <w:numFmt w:val="lowerRoman"/>
      <w:start w:val="1"/>
    </w:lvl>
    <w:lvl w:ilvl="1">
      <w:lvlJc w:val="left"/>
      <w:lvlText w:val="%2."/>
      <w:numFmt w:val="lowerLetter"/>
      <w:start w:val="13"/>
    </w:lvl>
  </w:abstractNum>
  <w:abstractNum w:abstractNumId="69">
    <w:nsid w:val="5092CA79"/>
    <w:multiLevelType w:val="hybridMultilevel"/>
    <w:lvl w:ilvl="0">
      <w:lvlJc w:val="left"/>
      <w:lvlText w:val="(%1)"/>
      <w:numFmt w:val="lowerRoman"/>
      <w:start w:val="1"/>
    </w:lvl>
    <w:lvl w:ilvl="1">
      <w:lvlJc w:val="left"/>
      <w:lvlText w:val="%2."/>
      <w:numFmt w:val="lowerLetter"/>
      <w:start w:val="14"/>
    </w:lvl>
  </w:abstractNum>
  <w:abstractNum w:abstractNumId="70">
    <w:nsid w:val="1D545C4D"/>
    <w:multiLevelType w:val="hybridMultilevel"/>
    <w:lvl w:ilvl="0">
      <w:lvlJc w:val="left"/>
      <w:lvlText w:val="%1."/>
      <w:numFmt w:val="decimal"/>
      <w:start w:val="6"/>
    </w:lvl>
    <w:lvl w:ilvl="1">
      <w:lvlJc w:val="left"/>
      <w:lvlText w:val="%2."/>
      <w:numFmt w:val="lowerLetter"/>
      <w:start w:val="1"/>
    </w:lvl>
  </w:abstractNum>
  <w:abstractNum w:abstractNumId="71">
    <w:nsid w:val="59ADEA3D"/>
    <w:multiLevelType w:val="hybridMultilevel"/>
    <w:lvl w:ilvl="0">
      <w:lvlJc w:val="left"/>
      <w:lvlText w:val="(%1)"/>
      <w:numFmt w:val="lowerRoman"/>
      <w:start w:val="3"/>
    </w:lvl>
    <w:lvl w:ilvl="1">
      <w:lvlJc w:val="left"/>
      <w:lvlText w:val="%2."/>
      <w:numFmt w:val="lowerLetter"/>
      <w:start w:val="6"/>
    </w:lvl>
  </w:abstractNum>
  <w:abstractNum w:abstractNumId="72">
    <w:nsid w:val="288F1A34"/>
    <w:multiLevelType w:val="hybridMultilevel"/>
    <w:lvl w:ilvl="0">
      <w:lvlJc w:val="left"/>
      <w:lvlText w:val="(%1)"/>
      <w:numFmt w:val="lowerRoman"/>
      <w:start w:val="2"/>
    </w:lvl>
    <w:lvl w:ilvl="1">
      <w:lvlJc w:val="left"/>
      <w:lvlText w:val="%2."/>
      <w:numFmt w:val="lowerLetter"/>
      <w:start w:val="7"/>
    </w:lvl>
  </w:abstractNum>
  <w:abstractNum w:abstractNumId="73">
    <w:nsid w:val="2A155D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7"/>
    </w:lvl>
  </w:abstractNum>
  <w:abstractNum w:abstractNumId="74">
    <w:nsid w:val="1D9F6E5F"/>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75">
    <w:nsid w:val="97E1B4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8">
    <w:nsid w:val="53584B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9">
    <w:nsid w:val="415E286C"/>
    <w:multiLevelType w:val="hybridMultilevel"/>
    <w:lvl w:ilvl="0">
      <w:lvlJc w:val="left"/>
      <w:lvlText w:val="(%1)"/>
      <w:numFmt w:val="decimal"/>
      <w:start w:val="60"/>
    </w:lvl>
    <w:lvl w:ilvl="1">
      <w:lvlJc w:val="left"/>
      <w:lvlText w:val="%2."/>
      <w:numFmt w:val="lowerLetter"/>
      <w:start w:val="4"/>
    </w:lvl>
    <w:lvl w:ilvl="2">
      <w:lvlJc w:val="left"/>
      <w:lvlText w:val="%3"/>
      <w:numFmt w:val="lowerRoman"/>
      <w:start w:val="1"/>
    </w:lvl>
  </w:abstractNum>
  <w:abstractNum w:abstractNumId="80">
    <w:nsid w:val="7C58FD05"/>
    <w:multiLevelType w:val="hybridMultilevel"/>
    <w:lvl w:ilvl="0">
      <w:lvlJc w:val="left"/>
      <w:lvlText w:val="(%1)"/>
      <w:numFmt w:val="lowerRoman"/>
      <w:start w:val="1"/>
    </w:lvl>
  </w:abstractNum>
  <w:abstractNum w:abstractNumId="81">
    <w:nsid w:val="23D86AAC"/>
    <w:multiLevelType w:val="hybridMultilevel"/>
    <w:lvl w:ilvl="0">
      <w:lvlJc w:val="left"/>
      <w:lvlText w:val="%1."/>
      <w:numFmt w:val="decimal"/>
      <w:start w:val="8"/>
    </w:lvl>
  </w:abstractNum>
  <w:abstractNum w:abstractNumId="82">
    <w:nsid w:val="45E6D486"/>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83">
    <w:nsid w:val="5C10FE21"/>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84">
    <w:nsid w:val="E7FFA2B"/>
    <w:multiLevelType w:val="hybridMultilevel"/>
    <w:lvl w:ilvl="0">
      <w:lvlJc w:val="left"/>
      <w:lvlText w:val="%1"/>
      <w:numFmt w:val="lowerRoman"/>
      <w:start w:val="1"/>
    </w:lvl>
    <w:lvl w:ilvl="1">
      <w:lvlJc w:val="left"/>
      <w:lvlText w:val="%2."/>
      <w:numFmt w:val="decimal"/>
      <w:start w:val="11"/>
    </w:lvl>
  </w:abstractNum>
  <w:abstractNum w:abstractNumId="85">
    <w:nsid w:val="3C5991AA"/>
    <w:multiLevelType w:val="hybridMultilevel"/>
    <w:lvl w:ilvl="0">
      <w:lvlJc w:val="left"/>
      <w:lvlText w:val="(%1)"/>
      <w:numFmt w:val="lowerRoman"/>
      <w:start w:val="3"/>
    </w:lvl>
    <w:lvl w:ilvl="1">
      <w:lvlJc w:val="left"/>
      <w:lvlText w:val="%2."/>
      <w:numFmt w:val="decimal"/>
      <w:start w:val="12"/>
    </w:lvl>
  </w:abstractNum>
  <w:abstractNum w:abstractNumId="86">
    <w:nsid w:val="4BD8591A"/>
    <w:multiLevelType w:val="hybridMultilevel"/>
    <w:lvl w:ilvl="0">
      <w:lvlJc w:val="left"/>
      <w:lvlText w:val="%1."/>
      <w:numFmt w:val="decimal"/>
      <w:start w:val="13"/>
    </w:lvl>
    <w:lvl w:ilvl="1">
      <w:lvlJc w:val="left"/>
      <w:lvlText w:val="%2."/>
      <w:numFmt w:val="lowerLetter"/>
      <w:start w:val="1"/>
    </w:lvl>
  </w:abstractNum>
  <w:abstractNum w:abstractNumId="87">
    <w:nsid w:val="78DF6A55"/>
    <w:multiLevelType w:val="hybridMultilevel"/>
    <w:lvl w:ilvl="0">
      <w:lvlJc w:val="left"/>
      <w:lvlText w:val="%1."/>
      <w:numFmt w:val="decimal"/>
      <w:start w:val="14"/>
    </w:lvl>
    <w:lvl w:ilvl="1">
      <w:lvlJc w:val="left"/>
      <w:lvlText w:val="%2."/>
      <w:numFmt w:val="lowerLetter"/>
      <w:start w:val="1"/>
    </w:lvl>
  </w:abstractNum>
  <w:abstractNum w:abstractNumId="88">
    <w:nsid w:val="39B7AAA2"/>
    <w:multiLevelType w:val="hybridMultilevel"/>
    <w:lvl w:ilvl="0">
      <w:lvlJc w:val="left"/>
      <w:lvlText w:val="%1"/>
      <w:numFmt w:val="lowerLetter"/>
      <w:start w:val="1"/>
    </w:lvl>
    <w:lvl w:ilvl="1">
      <w:lvlJc w:val="left"/>
      <w:lvlText w:val="%2."/>
      <w:numFmt w:val="decimal"/>
      <w:start w:val="15"/>
    </w:lvl>
  </w:abstractNum>
  <w:abstractNum w:abstractNumId="89">
    <w:nsid w:val="2B0D8DBE"/>
    <w:multiLevelType w:val="hybridMultilevel"/>
    <w:lvl w:ilvl="0">
      <w:lvlJc w:val="left"/>
      <w:lvlText w:val="(%1)"/>
      <w:numFmt w:val="lowerLetter"/>
      <w:start w:val="2"/>
    </w:lvl>
    <w:lvl w:ilvl="1">
      <w:lvlJc w:val="left"/>
      <w:lvlText w:val="%2"/>
      <w:numFmt w:val="decimal"/>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1"/>
      <w:numFmt w:val="upperLetter"/>
      <w:start w:val="1"/>
    </w:lvl>
    <w:lvl w:ilvl="1">
      <w:lvlJc w:val="left"/>
      <w:lvlText w:val="☐"/>
      <w:numFmt w:val="bullet"/>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1."/>
      <w:numFmt w:val="upperLetter"/>
      <w:start w:val="3"/>
    </w:lvl>
    <w:lvl w:ilvl="1">
      <w:lvlJc w:val="left"/>
      <w:lvlText w:val="%2."/>
      <w:numFmt w:val="decimal"/>
      <w:start w:val="1"/>
    </w:lvl>
  </w:abstractNum>
  <w:abstractNum w:abstractNumId="95">
    <w:nsid w:val="6AA7B75C"/>
    <w:multiLevelType w:val="hybridMultilevel"/>
    <w:lvl w:ilvl="0">
      <w:lvlJc w:val="left"/>
      <w:lvlText w:val="%1."/>
      <w:numFmt w:val="decimal"/>
      <w:start w:val="1"/>
    </w:lvl>
  </w:abstractNum>
  <w:abstractNum w:abstractNumId="96">
    <w:nsid w:val="1DF029D3"/>
    <w:multiLevelType w:val="hybridMultilevel"/>
    <w:lvl w:ilvl="0">
      <w:lvlJc w:val="left"/>
      <w:lvlText w:val="(%1)"/>
      <w:numFmt w:val="lowerRoman"/>
      <w:start w:val="2"/>
    </w:lvl>
  </w:abstractNum>
  <w:abstractNum w:abstractNumId="97">
    <w:nsid w:val="5675FF36"/>
    <w:multiLevelType w:val="hybridMultilevel"/>
    <w:lvl w:ilvl="0">
      <w:lvlJc w:val="left"/>
      <w:lvlText w:val="(%1)"/>
      <w:numFmt w:val="lowerRoman"/>
      <w:start w:val="1"/>
    </w:lvl>
  </w:abstractNum>
  <w:abstractNum w:abstractNumId="98">
    <w:nsid w:val="3DD15094"/>
    <w:multiLevelType w:val="hybridMultilevel"/>
    <w:lvl w:ilvl="0">
      <w:lvlJc w:val="left"/>
      <w:lvlText w:val="1"/>
      <w:numFmt w:val="bullet"/>
      <w:start w:val="1"/>
    </w:lvl>
  </w:abstractNum>
  <w:abstractNum w:abstractNumId="99">
    <w:nsid w:val="3DB012B3"/>
    <w:multiLevelType w:val="hybridMultilevel"/>
    <w:lvl w:ilvl="0">
      <w:lvlJc w:val="left"/>
      <w:lvlText w:val="(%1)"/>
      <w:numFmt w:val="lowerLetter"/>
      <w:start w:val="1"/>
    </w:lvl>
  </w:abstractNum>
  <w:abstractNum w:abstractNumId="100">
    <w:nsid w:val="2708C9AF"/>
    <w:multiLevelType w:val="hybridMultilevel"/>
    <w:lvl w:ilvl="0">
      <w:lvlJc w:val="left"/>
      <w:lvlText w:val="%1"/>
      <w:numFmt w:val="decimal"/>
      <w:start w:val="1"/>
    </w:lvl>
    <w:lvl w:ilvl="1">
      <w:lvlJc w:val="left"/>
      <w:lvlText w:val="(%2)"/>
      <w:numFmt w:val="lowerLetter"/>
      <w:start w:val="1"/>
    </w:lvl>
  </w:abstractNum>
  <w:abstractNum w:abstractNumId="101">
    <w:nsid w:val="5B25ACE2"/>
    <w:multiLevelType w:val="hybridMultilevel"/>
    <w:lvl w:ilvl="0">
      <w:lvlJc w:val="left"/>
      <w:lvlText w:val="(%1)"/>
      <w:numFmt w:val="decimal"/>
      <w:start w:val="2"/>
    </w:lvl>
    <w:lvl w:ilvl="1">
      <w:lvlJc w:val="left"/>
      <w:lvlText w:val="%2"/>
      <w:numFmt w:val="lowerLetter"/>
      <w:start w:val="1"/>
    </w:lvl>
  </w:abstractNum>
  <w:abstractNum w:abstractNumId="102">
    <w:nsid w:val="175DFCF0"/>
    <w:multiLevelType w:val="hybridMultilevel"/>
    <w:lvl w:ilvl="0">
      <w:lvlJc w:val="left"/>
      <w:lvlText w:val="(%1)"/>
      <w:numFmt w:val="lowerLetter"/>
      <w:start w:val="3"/>
    </w:lvl>
  </w:abstractNum>
  <w:abstractNum w:abstractNumId="103">
    <w:nsid w:val="4F97E3E4"/>
    <w:multiLevelType w:val="hybridMultilevel"/>
    <w:lvl w:ilvl="0">
      <w:lvlJc w:val="left"/>
      <w:lvlText w:val="(%1)"/>
      <w:numFmt w:val="lowerLetter"/>
      <w:start w:val="1"/>
    </w:lvl>
    <w:lvl w:ilvl="1">
      <w:lvlJc w:val="left"/>
      <w:lvlText w:val="(%2)"/>
      <w:numFmt w:val="lowerRoman"/>
      <w:start w:val="1"/>
    </w:lvl>
  </w:abstractNum>
  <w:abstractNum w:abstractNumId="104">
    <w:nsid w:val="53B0A9E"/>
    <w:multiLevelType w:val="hybridMultilevel"/>
    <w:lvl w:ilvl="0">
      <w:lvlJc w:val="left"/>
      <w:lvlText w:val="(%1)"/>
      <w:numFmt w:val="lowerRoman"/>
      <w:start w:val="4"/>
    </w:lvl>
  </w:abstractNum>
  <w:abstractNum w:abstractNumId="105">
    <w:nsid w:val="34FD6B4F"/>
    <w:multiLevelType w:val="hybridMultilevel"/>
    <w:lvl w:ilvl="0">
      <w:lvlJc w:val="left"/>
      <w:lvlText w:val="(%1)"/>
      <w:numFmt w:val="lowerLetter"/>
      <w:start w:val="1"/>
    </w:lvl>
    <w:lvl w:ilvl="1">
      <w:lvlJc w:val="left"/>
      <w:lvlText w:val="(%2)"/>
      <w:numFmt w:val="lowerLetter"/>
      <w:start w:val="9"/>
    </w:lvl>
  </w:abstractNum>
  <w:abstractNum w:abstractNumId="106">
    <w:nsid w:val="5915FF32"/>
    <w:multiLevelType w:val="hybridMultilevel"/>
    <w:lvl w:ilvl="0">
      <w:lvlJc w:val="left"/>
      <w:lvlText w:val="%1"/>
      <w:numFmt w:val="lowerLetter"/>
      <w:start w:val="1"/>
    </w:lvl>
    <w:lvl w:ilvl="1">
      <w:lvlJc w:val="left"/>
      <w:lvlText w:val="(%2)"/>
      <w:numFmt w:val="lowerLetter"/>
      <w:start w:val="35"/>
    </w:lvl>
  </w:abstractNum>
  <w:abstractNum w:abstractNumId="107">
    <w:nsid w:val="56438D15"/>
    <w:multiLevelType w:val="hybridMultilevel"/>
    <w:lvl w:ilvl="0">
      <w:lvlJc w:val="left"/>
      <w:lvlText w:val="(%1)"/>
      <w:numFmt w:val="lowerLetter"/>
      <w:start w:val="3"/>
    </w:lvl>
    <w:lvl w:ilvl="1">
      <w:lvlJc w:val="left"/>
      <w:lvlText w:val="(%2)"/>
      <w:numFmt w:val="lowerLetter"/>
      <w:start w:val="9"/>
    </w:lvl>
  </w:abstractNum>
  <w:abstractNum w:abstractNumId="108">
    <w:nsid w:val="519E3149"/>
    <w:multiLevelType w:val="hybridMultilevel"/>
    <w:lvl w:ilvl="0">
      <w:lvlJc w:val="left"/>
      <w:lvlText w:val="(%1)"/>
      <w:numFmt w:val="lowerRoman"/>
      <w:start w:val="2"/>
    </w:lvl>
  </w:abstractNum>
  <w:abstractNum w:abstractNumId="109">
    <w:nsid w:val="2C6E4AFD"/>
    <w:multiLevelType w:val="hybridMultilevel"/>
    <w:lvl w:ilvl="0">
      <w:lvlJc w:val="left"/>
      <w:lvlText w:val="(%1)"/>
      <w:numFmt w:val="lowerRoman"/>
      <w:start w:val="3"/>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2"/>
    </w:lvl>
    <w:lvl w:ilvl="1">
      <w:lvlJc w:val="left"/>
      <w:lvlText w:val="(%2)"/>
      <w:numFmt w:val="lowerLetter"/>
      <w:start w:val="9"/>
    </w:lvl>
  </w:abstractNum>
  <w:abstractNum w:abstractNumId="112">
    <w:nsid w:val="5046B5A9"/>
    <w:multiLevelType w:val="hybridMultilevel"/>
    <w:lvl w:ilvl="0">
      <w:lvlJc w:val="left"/>
      <w:lvlText w:val="(%1)"/>
      <w:numFmt w:val="lowerRoman"/>
      <w:start w:val="2"/>
    </w:lvl>
  </w:abstractNum>
  <w:abstractNum w:abstractNumId="113">
    <w:nsid w:val="5D888A08"/>
    <w:multiLevelType w:val="hybridMultilevel"/>
    <w:lvl w:ilvl="0">
      <w:lvlJc w:val="left"/>
      <w:lvlText w:val="(%1)"/>
      <w:numFmt w:val="lowerRoman"/>
      <w:start w:val="4"/>
    </w:lvl>
  </w:abstractNum>
  <w:abstractNum w:abstractNumId="114">
    <w:nsid w:val="2A082C70"/>
    <w:multiLevelType w:val="hybridMultilevel"/>
    <w:lvl w:ilvl="0">
      <w:lvlJc w:val="left"/>
      <w:lvlText w:val="(%1)"/>
      <w:numFmt w:val="lowerRoman"/>
      <w:start w:val="5"/>
    </w:lvl>
  </w:abstractNum>
  <w:abstractNum w:abstractNumId="115">
    <w:nsid w:val="5EC6AFD4"/>
    <w:multiLevelType w:val="hybridMultilevel"/>
    <w:lvl w:ilvl="0">
      <w:lvlJc w:val="left"/>
      <w:lvlText w:val="(%1)"/>
      <w:numFmt w:val="lowerLetter"/>
      <w:start w:val="4"/>
    </w:lvl>
  </w:abstractNum>
  <w:abstractNum w:abstractNumId="116">
    <w:nsid w:val="19E21BB2"/>
    <w:multiLevelType w:val="hybridMultilevel"/>
    <w:lvl w:ilvl="0">
      <w:lvlJc w:val="left"/>
      <w:lvlText w:val="(%1)"/>
      <w:numFmt w:val="lowerLetter"/>
      <w:start w:val="1"/>
    </w:lvl>
  </w:abstractNum>
  <w:abstractNum w:abstractNumId="117">
    <w:nsid w:val="75E0858A"/>
    <w:multiLevelType w:val="hybridMultilevel"/>
    <w:lvl w:ilvl="0">
      <w:lvlJc w:val="left"/>
      <w:lvlText w:val="(%1)"/>
      <w:numFmt w:val="lowerLetter"/>
      <w:start w:val="2"/>
    </w:lvl>
    <w:lvl w:ilvl="1">
      <w:lvlJc w:val="left"/>
      <w:lvlText w:val="(%2)"/>
      <w:numFmt w:val="lowerLetter"/>
      <w:start w:val="9"/>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Roman"/>
      <w:start w:val="2"/>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Roman"/>
      <w:start w:val="3"/>
    </w:lvl>
  </w:abstractNum>
  <w:abstractNum w:abstractNumId="122">
    <w:nsid w:val="B37E80A"/>
    <w:multiLevelType w:val="hybridMultilevel"/>
    <w:lvl w:ilvl="0">
      <w:lvlJc w:val="left"/>
      <w:lvlText w:val="%1"/>
      <w:numFmt w:val="lowerRoman"/>
      <w:start w:val="1"/>
    </w:lvl>
    <w:lvl w:ilvl="1">
      <w:lvlJc w:val="left"/>
      <w:lvlText w:val="%2."/>
      <w:numFmt w:val="lowerLetter"/>
      <w:start w:val="1"/>
    </w:lvl>
  </w:abstractNum>
  <w:abstractNum w:abstractNumId="123">
    <w:nsid w:val="2157F6BC"/>
    <w:multiLevelType w:val="hybridMultilevel"/>
    <w:lvl w:ilvl="0">
      <w:lvlJc w:val="left"/>
      <w:lvlText w:val="(%1)"/>
      <w:numFmt w:val="lowerRoman"/>
      <w:start w:val="4"/>
    </w:lvl>
    <w:lvl w:ilvl="1">
      <w:lvlJc w:val="left"/>
      <w:lvlText w:val="%2"/>
      <w:numFmt w:val="lowerLetter"/>
      <w:start w:val="1"/>
    </w:lvl>
  </w:abstractNum>
  <w:abstractNum w:abstractNumId="124">
    <w:nsid w:val="704E1DD5"/>
    <w:multiLevelType w:val="hybridMultilevel"/>
    <w:lvl w:ilvl="0">
      <w:lvlJc w:val="left"/>
      <w:lvlText w:val="%1"/>
      <w:numFmt w:val="lowerLetter"/>
      <w:start w:val="1"/>
    </w:lvl>
    <w:lvl w:ilvl="1">
      <w:lvlJc w:val="left"/>
      <w:lvlText w:val="(%2)"/>
      <w:numFmt w:val="lowerLetter"/>
      <w:start w:val="22"/>
    </w:lvl>
  </w:abstractNum>
  <w:abstractNum w:abstractNumId="125">
    <w:nsid w:val="57D2F10E"/>
    <w:multiLevelType w:val="hybridMultilevel"/>
    <w:lvl w:ilvl="0">
      <w:lvlJc w:val="left"/>
      <w:lvlText w:val="(%1)"/>
      <w:numFmt w:val="lowerLetter"/>
      <w:start w:val="4"/>
    </w:lvl>
    <w:lvl w:ilvl="1">
      <w:lvlJc w:val="left"/>
      <w:lvlText w:val="%2"/>
      <w:numFmt w:val="lowerLetter"/>
      <w:start w:val="1"/>
    </w:lvl>
  </w:abstractNum>
  <w:abstractNum w:abstractNumId="126">
    <w:nsid w:val="BFFAE18"/>
    <w:multiLevelType w:val="hybridMultilevel"/>
    <w:lvl w:ilvl="0">
      <w:lvlJc w:val="left"/>
      <w:lvlText w:val="(%1)"/>
      <w:numFmt w:val="lowerLetter"/>
      <w:start w:val="6"/>
    </w:lvl>
    <w:lvl w:ilvl="1">
      <w:lvlJc w:val="left"/>
      <w:lvlText w:val="(%2)"/>
      <w:numFmt w:val="lowerRoman"/>
      <w:start w:val="4"/>
    </w:lvl>
    <w:lvl w:ilvl="2">
      <w:lvlJc w:val="left"/>
      <w:lvlText w:val="(%3)"/>
      <w:numFmt w:val="lowerLetter"/>
      <w:start w:val="9"/>
    </w:lvl>
  </w:abstractNum>
  <w:abstractNum w:abstractNumId="127">
    <w:nsid w:val="E3E47A8"/>
    <w:multiLevelType w:val="hybridMultilevel"/>
    <w:lvl w:ilvl="0">
      <w:lvlJc w:val="left"/>
      <w:lvlText w:val="%1"/>
      <w:numFmt w:val="lowerLetter"/>
      <w:start w:val="1"/>
    </w:lvl>
    <w:lvl w:ilvl="1">
      <w:lvlJc w:val="left"/>
      <w:lvlText w:val="(%2)"/>
      <w:numFmt w:val="lowerRoman"/>
      <w:start w:val="2"/>
    </w:lvl>
  </w:abstractNum>
  <w:abstractNum w:abstractNumId="128">
    <w:nsid w:val="2E48F044"/>
    <w:multiLevelType w:val="hybridMultilevel"/>
    <w:lvl w:ilvl="0">
      <w:lvlJc w:val="left"/>
      <w:lvlText w:val="(%1)"/>
      <w:numFmt w:val="lowerLetter"/>
      <w:start w:val="7"/>
    </w:lvl>
    <w:lvl w:ilvl="1">
      <w:lvlJc w:val="left"/>
      <w:lvlText w:val="%2"/>
      <w:numFmt w:val="lowerRoman"/>
      <w:start w:val="1"/>
    </w:lvl>
  </w:abstractNum>
  <w:abstractNum w:abstractNumId="129">
    <w:nsid w:val="49D0FEAC"/>
    <w:multiLevelType w:val="hybridMultilevel"/>
    <w:lvl w:ilvl="0">
      <w:lvlJc w:val="left"/>
      <w:lvlText w:val="(%1)"/>
      <w:numFmt w:val="lowerLetter"/>
      <w:start w:val="8"/>
    </w:lvl>
    <w:lvl w:ilvl="1">
      <w:lvlJc w:val="left"/>
      <w:lvlText w:val="(%2)"/>
      <w:numFmt w:val="lowerRoman"/>
      <w:start w:val="1"/>
    </w:lvl>
  </w:abstractNum>
  <w:abstractNum w:abstractNumId="130">
    <w:nsid w:val="4BEE5A5B"/>
    <w:multiLevelType w:val="hybridMultilevel"/>
    <w:lvl w:ilvl="0">
      <w:lvlJc w:val="left"/>
      <w:lvlText w:val="(%1)"/>
      <w:numFmt w:val="lowerLetter"/>
      <w:start w:val="1"/>
    </w:lvl>
    <w:lvl w:ilvl="1">
      <w:lvlJc w:val="left"/>
      <w:lvlText w:val="(%2)"/>
      <w:numFmt w:val="lowerRoman"/>
      <w:start w:val="1"/>
    </w:lvl>
  </w:abstractNum>
  <w:abstractNum w:abstractNumId="131">
    <w:nsid w:val="5551B9F3"/>
    <w:multiLevelType w:val="hybridMultilevel"/>
    <w:lvl w:ilvl="0">
      <w:lvlJc w:val="left"/>
      <w:lvlText w:val="(%1)"/>
      <w:numFmt w:val="lowerLetter"/>
      <w:start w:val="2"/>
    </w:lvl>
    <w:lvl w:ilvl="1">
      <w:lvlJc w:val="left"/>
      <w:lvlText w:val="(%2)"/>
      <w:numFmt w:val="lowerRoman"/>
      <w:start w:val="1"/>
    </w:lvl>
  </w:abstractNum>
  <w:abstractNum w:abstractNumId="132">
    <w:nsid w:val="24F6AB8E"/>
    <w:multiLevelType w:val="hybridMultilevel"/>
    <w:lvl w:ilvl="0">
      <w:lvlJc w:val="left"/>
      <w:lvlText w:val="%1"/>
      <w:numFmt w:val="lowerRoman"/>
      <w:start w:val="1"/>
    </w:lvl>
    <w:lvl w:ilvl="1">
      <w:lvlJc w:val="left"/>
      <w:lvlText w:val="%2."/>
      <w:numFmt w:val="lowerLetter"/>
      <w:start w:val="1"/>
    </w:lvl>
  </w:abstractNum>
  <w:abstractNum w:abstractNumId="133">
    <w:nsid w:val="634C574C"/>
    <w:multiLevelType w:val="hybridMultilevel"/>
    <w:lvl w:ilvl="0">
      <w:lvlJc w:val="left"/>
      <w:lvlText w:val="(%1)"/>
      <w:numFmt w:val="lowerRoman"/>
      <w:start w:val="3"/>
    </w:lvl>
    <w:lvl w:ilvl="1">
      <w:lvlJc w:val="left"/>
      <w:lvlText w:val="%2"/>
      <w:numFmt w:val="lowerLetter"/>
      <w:start w:val="1"/>
    </w:lvl>
  </w:abstractNum>
  <w:abstractNum w:abstractNumId="134">
    <w:nsid w:val="24E99DD7"/>
    <w:multiLevelType w:val="hybridMultilevel"/>
    <w:lvl w:ilvl="0">
      <w:lvlJc w:val="left"/>
      <w:lvlText w:val="(%1)"/>
      <w:numFmt w:val="lowerLetter"/>
      <w:start w:val="3"/>
    </w:lvl>
  </w:abstractNum>
  <w:abstractNum w:abstractNumId="135">
    <w:nsid w:val="2A31B62D"/>
    <w:multiLevelType w:val="hybridMultilevel"/>
    <w:lvl w:ilvl="0">
      <w:lvlJc w:val="left"/>
      <w:lvlText w:val="%1"/>
      <w:numFmt w:val="lowerLetter"/>
      <w:start w:val="1"/>
    </w:lvl>
    <w:lvl w:ilvl="1">
      <w:lvlJc w:val="left"/>
      <w:lvlText w:val="(%2)"/>
      <w:numFmt w:val="lowerLetter"/>
      <w:start w:val="1"/>
    </w:lvl>
  </w:abstractNum>
  <w:abstractNum w:abstractNumId="136">
    <w:nsid w:val="1849C29B"/>
    <w:multiLevelType w:val="hybridMultilevel"/>
    <w:lvl w:ilvl="0">
      <w:lvlJc w:val="left"/>
      <w:lvlText w:val="(%1)"/>
      <w:numFmt w:val="lowerLetter"/>
      <w:start w:val="61"/>
    </w:lvl>
    <w:lvl w:ilvl="1">
      <w:lvlJc w:val="left"/>
      <w:lvlText w:val="(%2)"/>
      <w:numFmt w:val="lowerLetter"/>
      <w:start w:val="2"/>
    </w:lvl>
  </w:abstractNum>
  <w:abstractNum w:abstractNumId="137">
    <w:nsid w:val="7DFF9D09"/>
    <w:multiLevelType w:val="hybridMultilevel"/>
    <w:lvl w:ilvl="0">
      <w:lvlJc w:val="left"/>
      <w:lvlText w:val="(%1)"/>
      <w:numFmt w:val="lowerLetter"/>
      <w:start w:val="3"/>
    </w:lvl>
  </w:abstractNum>
  <w:abstractNum w:abstractNumId="138">
    <w:nsid w:val="754342"/>
    <w:multiLevelType w:val="hybridMultilevel"/>
    <w:lvl w:ilvl="0">
      <w:lvlJc w:val="left"/>
      <w:lvlText w:val="(%1)"/>
      <w:numFmt w:val="lowerLetter"/>
      <w:start w:val="6"/>
    </w:lvl>
  </w:abstractNum>
  <w:abstractNum w:abstractNumId="139">
    <w:nsid w:val="69E7F3E5"/>
    <w:multiLevelType w:val="hybridMultilevel"/>
    <w:lvl w:ilvl="0">
      <w:lvlJc w:val="left"/>
      <w:lvlText w:val="(%1)"/>
      <w:numFmt w:val="lowerLetter"/>
      <w:start w:val="12"/>
    </w:lvl>
  </w:abstractNum>
  <w:abstractNum w:abstractNumId="140">
    <w:nsid w:val="2A6DE806"/>
    <w:multiLevelType w:val="hybridMultilevel"/>
    <w:lvl w:ilvl="0">
      <w:lvlJc w:val="left"/>
      <w:lvlText w:val=" "/>
      <w:numFmt w:val="bullet"/>
      <w:start w:val="1"/>
    </w:lvl>
  </w:abstractNum>
  <w:abstractNum w:abstractNumId="141">
    <w:nsid w:val="1816F8C4"/>
    <w:multiLevelType w:val="hybridMultilevel"/>
    <w:lvl w:ilvl="0">
      <w:lvlJc w:val="left"/>
      <w:lvlText w:val=" "/>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2025-09-15T07:43:03Z</dcterms:created>
  <dcterms:modified xsi:type="dcterms:W3CDTF">2025-09-15T07:43:03Z</dcterms:modified>
</cp:coreProperties>
</file>