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78789dsc13g.htm"/>
      <w:bookmarkStart w:id="1" w:name="ksd778789dsc13g"/>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Ares Acquisition Corporation II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Class A ordinary shares, par value $0.0001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G33033 104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December 31,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240" w:after="0"/>
        <w:jc w:val="left"/>
        <w:rPr/>
      </w:pPr>
      <w:r>
        <w:rPr/>
        <w:t xml:space="preserve">☐ </w:t>
      </w:r>
      <w:r>
        <w:rPr>
          <w:rFonts w:ascii="Times New Roman" w:hAnsi="Times New Roman"/>
          <w:sz w:val="20"/>
        </w:rPr>
        <w:t xml:space="preserve">Rule 13d-1(b) </w:t>
      </w:r>
    </w:p>
    <w:p>
      <w:pPr>
        <w:pStyle w:val="TextBody"/>
        <w:bidi w:val="0"/>
        <w:spacing w:before="240" w:after="0"/>
        <w:jc w:val="left"/>
        <w:rPr/>
      </w:pPr>
      <w:r>
        <w:rPr/>
        <w:t xml:space="preserve">☐ </w:t>
      </w:r>
      <w:r>
        <w:rPr>
          <w:rFonts w:ascii="Times New Roman" w:hAnsi="Times New Roman"/>
          <w:sz w:val="20"/>
        </w:rPr>
        <w:t xml:space="preserve">Rule 13d-1(c) </w:t>
      </w:r>
    </w:p>
    <w:p>
      <w:pPr>
        <w:pStyle w:val="TextBody"/>
        <w:bidi w:val="0"/>
        <w:spacing w:before="240" w:after="0"/>
        <w:jc w:val="left"/>
        <w:rPr/>
      </w:pPr>
      <w:r>
        <w:rPr/>
        <w:t xml:space="preserve">☒ </w:t>
      </w:r>
      <w:r>
        <w:rPr>
          <w:rFonts w:ascii="Times New Roman" w:hAnsi="Times New Roman"/>
          <w:sz w:val="20"/>
        </w:rPr>
        <w:t xml:space="preserve">Rule 13d-1(d)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The information required on the remainder of this cover page shall not be deemed to be filed for the purpose of Section 18 of the Securities Exchange Act of 1934 (</w:t>
      </w:r>
      <w:r>
        <w:rPr>
          <w:rFonts w:ascii="Times New Roman" w:hAnsi="Times New Roman"/>
          <w:sz w:val="20"/>
          <w:u w:val="single"/>
        </w:rPr>
        <w:t>Act</w:t>
      </w:r>
      <w:r>
        <w:rPr>
          <w:rFonts w:ascii="Times New Roman" w:hAnsi="Times New Roman"/>
          <w:sz w:val="20"/>
        </w:rPr>
        <w:t xml:space="preserve">) or otherwise subject to the liabilities of that section of the Act but shall be subject to all other provisions of the Act (however, see the </w:t>
      </w:r>
      <w:r>
        <w:rPr>
          <w:rFonts w:ascii="Times New Roman" w:hAnsi="Times New Roman"/>
          <w:i/>
          <w:sz w:val="20"/>
        </w:rPr>
        <w:t>Notes</w:t>
      </w:r>
      <w:r>
        <w:rPr>
          <w:rFonts w:ascii="Times New Roman" w:hAnsi="Times New Roman"/>
          <w:sz w:val="20"/>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4950" w:type="pct"/>
        <w:jc w:val="left"/>
        <w:tblInd w:w="0" w:type="dxa"/>
        <w:tblLayout w:type="fixed"/>
        <w:tblCellMar>
          <w:top w:w="0" w:type="dxa"/>
          <w:left w:w="0" w:type="dxa"/>
          <w:bottom w:w="0" w:type="dxa"/>
          <w:right w:w="0" w:type="dxa"/>
        </w:tblCellMar>
      </w:tblPr>
      <w:tblGrid>
        <w:gridCol w:w="416"/>
        <w:gridCol w:w="124"/>
        <w:gridCol w:w="717"/>
        <w:gridCol w:w="197"/>
        <w:gridCol w:w="196"/>
        <w:gridCol w:w="197"/>
        <w:gridCol w:w="8255"/>
      </w:tblGrid>
      <w:tr>
        <w:trPr/>
        <w:tc>
          <w:tcPr>
            <w:tcW w:w="4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8255" w:type="dxa"/>
            <w:tcBorders/>
            <w:vAlign w:val="center"/>
          </w:tcPr>
          <w:p>
            <w:pPr>
              <w:pStyle w:val="TableContents"/>
              <w:bidi w:val="0"/>
              <w:spacing w:before="0" w:after="283"/>
              <w:jc w:val="left"/>
              <w:rPr>
                <w:sz w:val="4"/>
                <w:szCs w:val="4"/>
              </w:rPr>
            </w:pPr>
            <w:r>
              <w:rPr>
                <w:sz w:val="4"/>
                <w:szCs w:val="4"/>
              </w:rPr>
            </w:r>
          </w:p>
        </w:tc>
      </w:tr>
      <w:tr>
        <w:trPr/>
        <w:tc>
          <w:tcPr>
            <w:tcW w:w="41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6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Ares Acquisition Holdings II LP</w:t>
            </w:r>
          </w:p>
        </w:tc>
      </w:tr>
      <w:tr>
        <w:trPr/>
        <w:tc>
          <w:tcPr>
            <w:tcW w:w="41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6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1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6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1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6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Cayman Islands</w:t>
            </w:r>
          </w:p>
        </w:tc>
      </w:tr>
    </w:tbl>
    <w:tbl>
      <w:tblPr>
        <w:tblW w:w="4950" w:type="pct"/>
        <w:jc w:val="left"/>
        <w:tblInd w:w="0" w:type="dxa"/>
        <w:tblLayout w:type="fixed"/>
        <w:tblCellMar>
          <w:top w:w="0" w:type="dxa"/>
          <w:left w:w="0" w:type="dxa"/>
          <w:bottom w:w="0" w:type="dxa"/>
          <w:right w:w="0" w:type="dxa"/>
        </w:tblCellMar>
      </w:tblPr>
      <w:tblGrid>
        <w:gridCol w:w="433"/>
        <w:gridCol w:w="351"/>
        <w:gridCol w:w="765"/>
        <w:gridCol w:w="177"/>
        <w:gridCol w:w="275"/>
        <w:gridCol w:w="177"/>
        <w:gridCol w:w="7924"/>
      </w:tblGrid>
      <w:tr>
        <w:trPr/>
        <w:tc>
          <w:tcPr>
            <w:tcW w:w="433"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924" w:type="dxa"/>
            <w:tcBorders/>
            <w:vAlign w:val="center"/>
          </w:tcPr>
          <w:p>
            <w:pPr>
              <w:pStyle w:val="TableContents"/>
              <w:bidi w:val="0"/>
              <w:spacing w:before="0" w:after="283"/>
              <w:jc w:val="left"/>
              <w:rPr>
                <w:sz w:val="4"/>
                <w:szCs w:val="4"/>
              </w:rPr>
            </w:pPr>
            <w:r>
              <w:rPr>
                <w:sz w:val="4"/>
                <w:szCs w:val="4"/>
              </w:rPr>
            </w:r>
          </w:p>
        </w:tc>
      </w:tr>
      <w:tr>
        <w:trPr/>
        <w:tc>
          <w:tcPr>
            <w:tcW w:w="1549"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rFonts w:ascii="Times New Roman" w:hAnsi="Times New Roman"/>
                <w:sz w:val="20"/>
              </w:rPr>
            </w:pP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5. 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26,800,000</w:t>
            </w:r>
            <w:r>
              <w:rPr>
                <w:rFonts w:ascii="Times New Roman" w:hAnsi="Times New Roman"/>
                <w:sz w:val="20"/>
              </w:rPr>
              <w:t xml:space="preserve"> </w:t>
            </w:r>
            <w:r>
              <w:rPr>
                <w:rFonts w:ascii="Times New Roman" w:hAnsi="Times New Roman"/>
                <w:b/>
                <w:sz w:val="20"/>
              </w:rPr>
              <w:t>(1)</w:t>
            </w:r>
          </w:p>
        </w:tc>
      </w:tr>
      <w:tr>
        <w:trPr/>
        <w:tc>
          <w:tcPr>
            <w:tcW w:w="1549"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6.</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0</w:t>
            </w:r>
          </w:p>
        </w:tc>
      </w:tr>
      <w:tr>
        <w:trPr/>
        <w:tc>
          <w:tcPr>
            <w:tcW w:w="1549"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7.</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24"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26,800,000</w:t>
            </w:r>
            <w:r>
              <w:rPr>
                <w:rFonts w:ascii="Times New Roman" w:hAnsi="Times New Roman"/>
                <w:sz w:val="20"/>
              </w:rPr>
              <w:t xml:space="preserve"> </w:t>
            </w:r>
            <w:r>
              <w:rPr>
                <w:rFonts w:ascii="Times New Roman" w:hAnsi="Times New Roman"/>
                <w:b/>
                <w:sz w:val="20"/>
              </w:rPr>
              <w:t>(1)</w:t>
            </w:r>
          </w:p>
        </w:tc>
      </w:tr>
      <w:tr>
        <w:trPr/>
        <w:tc>
          <w:tcPr>
            <w:tcW w:w="1549"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5" w:type="dxa"/>
            <w:tcBorders/>
          </w:tcPr>
          <w:p>
            <w:pPr>
              <w:pStyle w:val="TableContents"/>
              <w:bidi w:val="0"/>
              <w:spacing w:before="0" w:after="283"/>
              <w:jc w:val="left"/>
              <w:rPr/>
            </w:pPr>
            <w:r>
              <w:rPr/>
              <w:t>8.</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924"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0</w:t>
            </w:r>
          </w:p>
        </w:tc>
      </w:tr>
    </w:tbl>
    <w:tbl>
      <w:tblPr>
        <w:tblW w:w="4950" w:type="pct"/>
        <w:jc w:val="left"/>
        <w:tblInd w:w="0" w:type="dxa"/>
        <w:tblLayout w:type="fixed"/>
        <w:tblCellMar>
          <w:top w:w="0" w:type="dxa"/>
          <w:left w:w="0" w:type="dxa"/>
          <w:bottom w:w="0" w:type="dxa"/>
          <w:right w:w="0" w:type="dxa"/>
        </w:tblCellMar>
      </w:tblPr>
      <w:tblGrid>
        <w:gridCol w:w="428"/>
        <w:gridCol w:w="127"/>
        <w:gridCol w:w="674"/>
        <w:gridCol w:w="212"/>
        <w:gridCol w:w="205"/>
        <w:gridCol w:w="212"/>
        <w:gridCol w:w="8244"/>
      </w:tblGrid>
      <w:tr>
        <w:trPr/>
        <w:tc>
          <w:tcPr>
            <w:tcW w:w="4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4" w:type="dxa"/>
            <w:tcBorders/>
            <w:vAlign w:val="center"/>
          </w:tcPr>
          <w:p>
            <w:pPr>
              <w:pStyle w:val="TableContents"/>
              <w:bidi w:val="0"/>
              <w:spacing w:before="0" w:after="283"/>
              <w:jc w:val="left"/>
              <w:rPr>
                <w:sz w:val="4"/>
                <w:szCs w:val="4"/>
              </w:rPr>
            </w:pPr>
            <w:r>
              <w:rPr>
                <w:sz w:val="4"/>
                <w:szCs w:val="4"/>
              </w:rPr>
            </w:r>
          </w:p>
        </w:tc>
      </w:tr>
      <w:tr>
        <w:trPr/>
        <w:tc>
          <w:tcPr>
            <w:tcW w:w="4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26,800,000</w:t>
            </w:r>
            <w:r>
              <w:rPr>
                <w:rFonts w:ascii="Times New Roman" w:hAnsi="Times New Roman"/>
                <w:sz w:val="20"/>
              </w:rPr>
              <w:t xml:space="preserve"> </w:t>
            </w:r>
            <w:r>
              <w:rPr>
                <w:rFonts w:ascii="Times New Roman" w:hAnsi="Times New Roman"/>
                <w:b/>
                <w:sz w:val="20"/>
              </w:rPr>
              <w:t>(1)</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34.9% (2)</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PN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26,800,000 Class A ordinary shares (Class A Shares) issuable in respect of (i) 12,500,000 Class B ordinary shares (Class B Shares) and (ii) 14,300,000 private placement warrants to purchase one Class A Share at $11.50 per share, which become exercisable 30 days after the completion of the Issuers initial business combination (Private Placement Warrants).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upon 50,000,000 Class A Shares outstanding as of November 3, 2023, as reported by the Issuer in its Form 10-Q filed on November 7, 2023, as increased by 26,800,000 Class A Shares issuable in respect of (i) 12,500,000 Class B Shares (ii) and 14,300,000 Private Placement Warrants.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1(a).</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Ares Acquisition Corporation II (the Issuer)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1(b).</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the Issuers Principal Executive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 Ares Management LLC </w:t>
      </w:r>
    </w:p>
    <w:p>
      <w:pPr>
        <w:pStyle w:val="TextBody"/>
        <w:bidi w:val="0"/>
        <w:spacing w:before="0" w:after="0"/>
        <w:jc w:val="left"/>
        <w:rPr>
          <w:rFonts w:ascii="Times New Roman" w:hAnsi="Times New Roman"/>
          <w:sz w:val="20"/>
        </w:rPr>
      </w:pPr>
      <w:r>
        <w:rPr>
          <w:rFonts w:ascii="Times New Roman" w:hAnsi="Times New Roman"/>
          <w:sz w:val="20"/>
        </w:rPr>
        <w:t xml:space="preserve">245 Park Avenue, 44th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10167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2(a).</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Names of Persons Filing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statement is filed by the Ares Acquisition Holdings II LP, referred to herein as the Reporting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2(b).</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the Principal Business Office, or if none, Residence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 Ares Management LLC </w:t>
      </w:r>
    </w:p>
    <w:p>
      <w:pPr>
        <w:pStyle w:val="TextBody"/>
        <w:bidi w:val="0"/>
        <w:spacing w:before="0" w:after="0"/>
        <w:jc w:val="left"/>
        <w:rPr>
          <w:rFonts w:ascii="Times New Roman" w:hAnsi="Times New Roman"/>
          <w:sz w:val="20"/>
        </w:rPr>
      </w:pPr>
      <w:r>
        <w:rPr>
          <w:rFonts w:ascii="Times New Roman" w:hAnsi="Times New Roman"/>
          <w:sz w:val="20"/>
        </w:rPr>
        <w:t xml:space="preserve">245 Park Avenue, 44th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10167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2(c).</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Citizenship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response to Item 4 on the cover page.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2(d).</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Title of Class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Class A ordinary shares, par value $0.0001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2(e).</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CUSIP Number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G33033 104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this statement is filed pursuant to Rules 13d-1(b), or 13d-2(b) or (c), check whether the person filing is a (n):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rPr>
            </w:pPr>
            <w:r>
              <w:rPr>
                <w:b/>
              </w:rPr>
              <w:t>(a)</w:t>
            </w:r>
          </w:p>
        </w:tc>
        <w:tc>
          <w:tcPr>
            <w:tcW w:w="888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Amount beneficially owned: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response to Item 9 on the cover page.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rPr>
            </w:pPr>
            <w:r>
              <w:rPr>
                <w:b/>
              </w:rPr>
              <w:t>(b)</w:t>
            </w:r>
          </w:p>
        </w:tc>
        <w:tc>
          <w:tcPr>
            <w:tcW w:w="888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Percent of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response to Item 11 on the cover page.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rPr>
            </w:pPr>
            <w:r>
              <w:rPr>
                <w:b/>
              </w:rPr>
              <w:t>(c)</w:t>
            </w:r>
          </w:p>
        </w:tc>
        <w:tc>
          <w:tcPr>
            <w:tcW w:w="888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Number of shares as to which the Reporting Person has: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(i)</w:t>
            </w:r>
          </w:p>
        </w:tc>
        <w:tc>
          <w:tcPr>
            <w:tcW w:w="837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Sole power to vote or to direct the vote: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response to Item 5 on the cover page.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(ii)</w:t>
            </w:r>
          </w:p>
        </w:tc>
        <w:tc>
          <w:tcPr>
            <w:tcW w:w="837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Shared power to vote or to direct the vote: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response to Item 6 on the cover page.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(iii)</w:t>
            </w:r>
          </w:p>
        </w:tc>
        <w:tc>
          <w:tcPr>
            <w:tcW w:w="837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Sole power to dispose or to direct the disposition 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response to Item 7 on the cover page.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(iv)</w:t>
            </w:r>
          </w:p>
        </w:tc>
        <w:tc>
          <w:tcPr>
            <w:tcW w:w="837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Shared power to dispose or to direct the disposition 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response to Item 8 on the cover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Reporting Person directly holds the reported securities and is managed by affiliates of Ares Management Corporation (Ares). Ares Acquisition Holdings II is the general partner of the Reporting Person. Ares Investment Holdings LLC is the sole shareholder of Ares Acquisition Holdings II. Ares Investment Holdings LLC is an indirect subsidiary of Ares. Ares Management GP LLC (Ares Management GP) is the sole holder of the Class B common stock, $0.01 par value per share, of Ares (the Ares Class B Common Stock) and Ares Voting LLC (Ares Voting) is the sole holder of the Class C common stock, $0.01 par value per share, of Ares (the Ares Class C Common Stock). Pursuant to Ares Certificate of Incorporation, the holders of the Ares Class B Common Stock and the Ares Class C Common Stock, collectively, will generally have the majority of the votes on any matter submitted to the stockholders of Ares if certain conditions are met. The sole member of both Ares Management GP and Ares Voting is Ares Partners Holdco LLC (Ares Partners). Ares Partners is managed by a board of managers, which is composed of Michael J Arougheti, Ryan Berry, R. Kipp deVeer, David B. Kaplan, Antony P. Ressler and Bennett Rosenthal (the Board Members). Mr. Ressler generally has veto authority over decisions of the Board Members and therefore may be deemed to have beneficial ownership of the reported securities. This Statement shall not be construed as an admission that the Reporting Person or any of the foregoing are, for purposes of Section 13(d) and 13(g), beneficial owners of any securities covered by this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7</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8.</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9.</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Dissolution of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10.</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February 9, 2024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Ares Acquisition Holdings II LP</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Anton Feingold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Anton Feingold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1108</Words>
  <Characters>5236</Characters>
  <CharactersWithSpaces>6328</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dc:title>
</cp:coreProperties>
</file>